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5" w:name="X3d5829ea667ba0dd57983c027825e9ff3e1b49d"/>
    <w:p>
      <w:pPr>
        <w:pStyle w:val="Heading1"/>
      </w:pPr>
      <w:r>
        <w:t xml:space="preserve">SK Hynix ADR Premium: Can SKHY Be Arbitraged?</w:t>
      </w:r>
    </w:p>
    <w:p>
      <w:pPr>
        <w:pStyle w:val="FirstParagraph"/>
      </w:pPr>
      <w:r>
        <w:rPr>
          <w:b/>
          <w:bCs/>
        </w:rPr>
        <w:t xml:space="preserve">Prepared for:</w:t>
      </w:r>
      <w:r>
        <w:t xml:space="preserve"> </w:t>
      </w:r>
      <w:r>
        <w:t xml:space="preserve">Ray</w:t>
      </w:r>
      <w:r>
        <w:br/>
      </w:r>
      <w:r>
        <w:rPr>
          <w:b/>
          <w:bCs/>
        </w:rPr>
        <w:t xml:space="preserve">Date:</w:t>
      </w:r>
      <w:r>
        <w:t xml:space="preserve"> </w:t>
      </w:r>
      <w:r>
        <w:t xml:space="preserve">July 15, 2026</w:t>
      </w:r>
      <w:r>
        <w:br/>
      </w:r>
      <w:r>
        <w:rPr>
          <w:b/>
          <w:bCs/>
        </w:rPr>
        <w:t xml:space="preserve">Subject:</w:t>
      </w:r>
      <w:r>
        <w:t xml:space="preserve"> </w:t>
      </w:r>
      <w:r>
        <w:t xml:space="preserve">Investigation into the SK Hynix ADR premium, Citi book restrictions, July 29 claim, and arbitrage feasibility</w:t>
      </w:r>
    </w:p>
    <w:p>
      <w:r>
        <w:pict>
          <v:rect style="width:0;height:1.5pt" o:hralign="center" o:hrstd="t" o:hr="t"/>
        </w:pict>
      </w:r>
    </w:p>
    <w:bookmarkStart w:id="9" w:name="executive-summary"/>
    <w:p>
      <w:pPr>
        <w:pStyle w:val="Heading2"/>
      </w:pPr>
      <w:r>
        <w:t xml:space="preserve">Executive Summary</w:t>
      </w:r>
    </w:p>
    <w:p>
      <w:pPr>
        <w:pStyle w:val="FirstParagraph"/>
      </w:pPr>
      <w:r>
        <w:t xml:space="preserve">The social-media claim is</w:t>
      </w:r>
      <w:r>
        <w:t xml:space="preserve"> </w:t>
      </w:r>
      <w:r>
        <w:rPr>
          <w:b/>
          <w:bCs/>
        </w:rPr>
        <w:t xml:space="preserve">partly true but overstated</w:t>
      </w:r>
      <w:r>
        <w:t xml:space="preserve">.</w:t>
      </w:r>
    </w:p>
    <w:p>
      <w:pPr>
        <w:pStyle w:val="BodyText"/>
      </w:pPr>
      <w:r>
        <w:t xml:space="preserve">The strongest primary-source finding is from Citi: SKHY ADR books are closed for</w:t>
      </w:r>
      <w:r>
        <w:t xml:space="preserve"> </w:t>
      </w:r>
      <w:r>
        <w:rPr>
          <w:b/>
          <w:bCs/>
        </w:rPr>
        <w:t xml:space="preserve">issuance and cancellation</w:t>
      </w:r>
      <w:r>
        <w:t xml:space="preserve"> </w:t>
      </w:r>
      <w:r>
        <w:t xml:space="preserve">from</w:t>
      </w:r>
      <w:r>
        <w:t xml:space="preserve"> </w:t>
      </w:r>
      <w:r>
        <w:rPr>
          <w:b/>
          <w:bCs/>
        </w:rPr>
        <w:t xml:space="preserve">July 14, 2026</w:t>
      </w:r>
      <w:r>
        <w:t xml:space="preserve"> </w:t>
      </w:r>
      <w:r>
        <w:t xml:space="preserve">until</w:t>
      </w:r>
      <w:r>
        <w:t xml:space="preserve"> </w:t>
      </w:r>
      <w:r>
        <w:rPr>
          <w:b/>
          <w:bCs/>
        </w:rPr>
        <w:t xml:space="preserve">close of business July 29, 2026, New York time</w:t>
      </w:r>
      <w:r>
        <w:t xml:space="preserve">, because the newly issued Korean common shares underlying the ADRs are not transferable in Korea until they are listed on the Korea Exchange on</w:t>
      </w:r>
      <w:r>
        <w:t xml:space="preserve"> </w:t>
      </w:r>
      <w:r>
        <w:rPr>
          <w:b/>
          <w:bCs/>
        </w:rPr>
        <w:t xml:space="preserve">July 29, 2026, Seoul time</w:t>
      </w:r>
      <w:r>
        <w:t xml:space="preserve">. Citi states that ADR books will open for issuance and cancellation at the</w:t>
      </w:r>
      <w:r>
        <w:t xml:space="preserve"> </w:t>
      </w:r>
      <w:r>
        <w:rPr>
          <w:b/>
          <w:bCs/>
        </w:rPr>
        <w:t xml:space="preserve">open of business July 30, 2026, New York time</w:t>
      </w:r>
      <w:r>
        <w:t xml:space="preserve">.</w:t>
      </w:r>
    </w:p>
    <w:p>
      <w:pPr>
        <w:pStyle w:val="BodyText"/>
      </w:pPr>
      <w:r>
        <w:t xml:space="preserve">However, this does</w:t>
      </w:r>
      <w:r>
        <w:t xml:space="preserve"> </w:t>
      </w:r>
      <w:r>
        <w:rPr>
          <w:b/>
          <w:bCs/>
        </w:rPr>
        <w:t xml:space="preserve">not</w:t>
      </w:r>
      <w:r>
        <w:t xml:space="preserve"> </w:t>
      </w:r>
      <w:r>
        <w:t xml:space="preserve">prove that unlimited two-way fungibility begins on July 29. The SKHY deposit agreement and prospectus preserve several major constraints: Korean-law compliance, issuer consent, possible company-established caps, Citi refusal rights, book closures, regulatory filings, fees, and custody/settlement frictions.</w:t>
      </w:r>
    </w:p>
    <w:p>
      <w:pPr>
        <w:pStyle w:val="BodyText"/>
      </w:pPr>
      <w:r>
        <w:t xml:space="preserve">The likely conclusion is:</w:t>
      </w:r>
    </w:p>
    <w:p>
      <w:pPr>
        <w:pStyle w:val="Compact"/>
        <w:numPr>
          <w:ilvl w:val="0"/>
          <w:numId w:val="1001"/>
        </w:numPr>
      </w:pPr>
      <w:r>
        <w:rPr>
          <w:b/>
          <w:bCs/>
        </w:rPr>
        <w:t xml:space="preserve">July 29 is real</w:t>
      </w:r>
      <w:r>
        <w:t xml:space="preserve"> </w:t>
      </w:r>
      <w:r>
        <w:t xml:space="preserve">as a Korea listing / Citi books milestone.</w:t>
      </w:r>
    </w:p>
    <w:p>
      <w:pPr>
        <w:pStyle w:val="Compact"/>
        <w:numPr>
          <w:ilvl w:val="0"/>
          <w:numId w:val="1001"/>
        </w:numPr>
      </w:pPr>
      <w:r>
        <w:rPr>
          <w:b/>
          <w:bCs/>
        </w:rPr>
        <w:t xml:space="preserve">July 30 New York open</w:t>
      </w:r>
      <w:r>
        <w:t xml:space="preserve"> </w:t>
      </w:r>
      <w:r>
        <w:t xml:space="preserve">is the practical Citi reopening point.</w:t>
      </w:r>
    </w:p>
    <w:p>
      <w:pPr>
        <w:pStyle w:val="Compact"/>
        <w:numPr>
          <w:ilvl w:val="0"/>
          <w:numId w:val="1001"/>
        </w:numPr>
      </w:pPr>
      <w:r>
        <w:rPr>
          <w:b/>
          <w:bCs/>
        </w:rPr>
        <w:t xml:space="preserve">Institutional arbitrage may become possible</w:t>
      </w:r>
      <w:r>
        <w:t xml:space="preserve"> </w:t>
      </w:r>
      <w:r>
        <w:t xml:space="preserve">after reopening, if Citi accepts deposits and no tight cap is imposed.</w:t>
      </w:r>
    </w:p>
    <w:p>
      <w:pPr>
        <w:pStyle w:val="Compact"/>
        <w:numPr>
          <w:ilvl w:val="0"/>
          <w:numId w:val="1001"/>
        </w:numPr>
      </w:pPr>
      <w:r>
        <w:rPr>
          <w:b/>
          <w:bCs/>
        </w:rPr>
        <w:t xml:space="preserve">Retail arbitrage is not practically available.</w:t>
      </w:r>
    </w:p>
    <w:p>
      <w:pPr>
        <w:pStyle w:val="Compact"/>
        <w:numPr>
          <w:ilvl w:val="0"/>
          <w:numId w:val="1001"/>
        </w:numPr>
      </w:pPr>
      <w:r>
        <w:t xml:space="preserve">The ADR premium may compress, but a full collapse is not guaranteed unless meaningful ADR creation is actually accepted.</w:t>
      </w:r>
    </w:p>
    <w:p>
      <w:r>
        <w:pict>
          <v:rect style="width:0;height:1.5pt" o:hralign="center" o:hrstd="t" o:hr="t"/>
        </w:pict>
      </w:r>
    </w:p>
    <w:bookmarkEnd w:id="9"/>
    <w:bookmarkStart w:id="14" w:name="is-the-july-29-claim-true"/>
    <w:p>
      <w:pPr>
        <w:pStyle w:val="Heading2"/>
      </w:pPr>
      <w:r>
        <w:t xml:space="preserve">1. Is the July 29 Claim True?</w:t>
      </w:r>
    </w:p>
    <w:bookmarkStart w:id="10" w:name="finding"/>
    <w:p>
      <w:pPr>
        <w:pStyle w:val="Heading3"/>
      </w:pPr>
      <w:r>
        <w:t xml:space="preserve">Finding</w:t>
      </w:r>
    </w:p>
    <w:p>
      <w:pPr>
        <w:pStyle w:val="FirstParagraph"/>
      </w:pPr>
      <w:r>
        <w:rPr>
          <w:b/>
          <w:bCs/>
        </w:rPr>
        <w:t xml:space="preserve">Yes, but with precision.</w:t>
      </w:r>
      <w:r>
        <w:t xml:space="preserve"> </w:t>
      </w:r>
      <w:r>
        <w:t xml:space="preserve">July 29 appears in official Citi and SK Hynix materials. It is not just social-media speculation.</w:t>
      </w:r>
    </w:p>
    <w:bookmarkEnd w:id="10"/>
    <w:bookmarkStart w:id="11" w:name="citi-primary-evidence"/>
    <w:p>
      <w:pPr>
        <w:pStyle w:val="Heading3"/>
      </w:pPr>
      <w:r>
        <w:t xml:space="preserve">Citi primary evidence</w:t>
      </w:r>
    </w:p>
    <w:p>
      <w:pPr>
        <w:pStyle w:val="FirstParagraph"/>
      </w:pPr>
      <w:r>
        <w:t xml:space="preserve">Citi SKHY books-close/open notice:</w:t>
      </w:r>
      <w:r>
        <w:br/>
      </w:r>
      <w:r>
        <w:t xml:space="preserve">https://depositaryreceipts.citi.com/adr/guides/bookPdf.aspx?secId=SKHY&amp;dmcid=556973172</w:t>
      </w:r>
    </w:p>
    <w:p>
      <w:pPr>
        <w:pStyle w:val="BodyText"/>
      </w:pPr>
      <w:r>
        <w:t xml:space="preserve">Citi states:</w:t>
      </w:r>
    </w:p>
    <w:p>
      <w:pPr>
        <w:pStyle w:val="BlockText"/>
      </w:pPr>
      <w:r>
        <w:t xml:space="preserve">“ADR books will be closed for issuance and cancellation until close of business July 29, 2026, NY time, as newly issued Common shares are not transferable in Korea until such Common shares are listed on the Korea Exchange on July 29, 2026, Seoul time. Accordingly, ADR books will open for issuance and cancellation open of business on July 30, 2026, NY time.”</w:t>
      </w:r>
    </w:p>
    <w:p>
      <w:pPr>
        <w:pStyle w:val="FirstParagraph"/>
      </w:pPr>
      <w:r>
        <w:t xml:space="preserve">Citi book-status page:</w:t>
      </w:r>
      <w:r>
        <w:br/>
      </w:r>
      <w:r>
        <w:t xml:space="preserve">https://depositaryreceipts.citi.com/adr/guides/pgm_dispabook.aspx?pageId=15&amp;subpageID=111&amp;cusip=78392B206</w:t>
      </w:r>
    </w:p>
    <w:p>
      <w:pPr>
        <w:pStyle w:val="BodyText"/>
      </w:pPr>
      <w:r>
        <w:t xml:space="preserve">The Citi page shows:</w:t>
      </w:r>
    </w:p>
    <w:p>
      <w:pPr>
        <w:pStyle w:val="Compact"/>
        <w:numPr>
          <w:ilvl w:val="0"/>
          <w:numId w:val="1002"/>
        </w:numPr>
      </w:pPr>
      <w:r>
        <w:rPr>
          <w:b/>
          <w:bCs/>
        </w:rPr>
        <w:t xml:space="preserve">Company:</w:t>
      </w:r>
      <w:r>
        <w:t xml:space="preserve"> </w:t>
      </w:r>
      <w:r>
        <w:t xml:space="preserve">SK hynix Inc.</w:t>
      </w:r>
    </w:p>
    <w:p>
      <w:pPr>
        <w:pStyle w:val="Compact"/>
        <w:numPr>
          <w:ilvl w:val="0"/>
          <w:numId w:val="1002"/>
        </w:numPr>
      </w:pPr>
      <w:r>
        <w:rPr>
          <w:b/>
          <w:bCs/>
        </w:rPr>
        <w:t xml:space="preserve">Ticker:</w:t>
      </w:r>
      <w:r>
        <w:t xml:space="preserve"> </w:t>
      </w:r>
      <w:r>
        <w:t xml:space="preserve">SKHY</w:t>
      </w:r>
    </w:p>
    <w:p>
      <w:pPr>
        <w:pStyle w:val="Compact"/>
        <w:numPr>
          <w:ilvl w:val="0"/>
          <w:numId w:val="1002"/>
        </w:numPr>
      </w:pPr>
      <w:r>
        <w:rPr>
          <w:b/>
          <w:bCs/>
        </w:rPr>
        <w:t xml:space="preserve">CUSIP:</w:t>
      </w:r>
      <w:r>
        <w:t xml:space="preserve"> </w:t>
      </w:r>
      <w:r>
        <w:t xml:space="preserve">78392B206</w:t>
      </w:r>
    </w:p>
    <w:p>
      <w:pPr>
        <w:pStyle w:val="Compact"/>
        <w:numPr>
          <w:ilvl w:val="0"/>
          <w:numId w:val="1002"/>
        </w:numPr>
      </w:pPr>
      <w:r>
        <w:rPr>
          <w:b/>
          <w:bCs/>
        </w:rPr>
        <w:t xml:space="preserve">Current Book Status:</w:t>
      </w:r>
      <w:r>
        <w:t xml:space="preserve"> </w:t>
      </w:r>
      <w:r>
        <w:t xml:space="preserve">OPEN</w:t>
      </w:r>
    </w:p>
    <w:p>
      <w:pPr>
        <w:pStyle w:val="Compact"/>
        <w:numPr>
          <w:ilvl w:val="0"/>
          <w:numId w:val="1002"/>
        </w:numPr>
      </w:pPr>
      <w:r>
        <w:rPr>
          <w:b/>
          <w:bCs/>
        </w:rPr>
        <w:t xml:space="preserve">Date of Notice:</w:t>
      </w:r>
      <w:r>
        <w:t xml:space="preserve"> </w:t>
      </w:r>
      <w:r>
        <w:t xml:space="preserve">07/14/2026</w:t>
      </w:r>
    </w:p>
    <w:p>
      <w:pPr>
        <w:pStyle w:val="Compact"/>
        <w:numPr>
          <w:ilvl w:val="0"/>
          <w:numId w:val="1002"/>
        </w:numPr>
      </w:pPr>
      <w:r>
        <w:rPr>
          <w:b/>
          <w:bCs/>
        </w:rPr>
        <w:t xml:space="preserve">Closed Date:</w:t>
      </w:r>
      <w:r>
        <w:t xml:space="preserve"> </w:t>
      </w:r>
      <w:r>
        <w:t xml:space="preserve">07/14/2026</w:t>
      </w:r>
    </w:p>
    <w:p>
      <w:pPr>
        <w:pStyle w:val="Compact"/>
        <w:numPr>
          <w:ilvl w:val="0"/>
          <w:numId w:val="1002"/>
        </w:numPr>
      </w:pPr>
      <w:r>
        <w:rPr>
          <w:b/>
          <w:bCs/>
        </w:rPr>
        <w:t xml:space="preserve">Open Date:</w:t>
      </w:r>
      <w:r>
        <w:t xml:space="preserve"> </w:t>
      </w:r>
      <w:r>
        <w:t xml:space="preserve">07/29/2026</w:t>
      </w:r>
    </w:p>
    <w:p>
      <w:pPr>
        <w:pStyle w:val="Compact"/>
        <w:numPr>
          <w:ilvl w:val="0"/>
          <w:numId w:val="1002"/>
        </w:numPr>
      </w:pPr>
      <w:r>
        <w:rPr>
          <w:b/>
          <w:bCs/>
        </w:rPr>
        <w:t xml:space="preserve">Book Closed For:</w:t>
      </w:r>
      <w:r>
        <w:t xml:space="preserve"> </w:t>
      </w:r>
      <w:r>
        <w:t xml:space="preserve">Issuance &amp; Cancellation</w:t>
      </w:r>
    </w:p>
    <w:p>
      <w:pPr>
        <w:pStyle w:val="Compact"/>
        <w:numPr>
          <w:ilvl w:val="0"/>
          <w:numId w:val="1002"/>
        </w:numPr>
      </w:pPr>
      <w:r>
        <w:rPr>
          <w:b/>
          <w:bCs/>
        </w:rPr>
        <w:t xml:space="preserve">Reason:</w:t>
      </w:r>
      <w:r>
        <w:t xml:space="preserve"> </w:t>
      </w:r>
      <w:r>
        <w:t xml:space="preserve">Market Notification</w:t>
      </w:r>
    </w:p>
    <w:p>
      <w:pPr>
        <w:pStyle w:val="FirstParagraph"/>
      </w:pPr>
      <w:r>
        <w:t xml:space="preserve">There is a slight inconsistency: the web table says “Current Book Status: OPEN,” while the PDF notice says books are closed until close of business July 29 and reopen open of business July 30. For operational purposes, the PDF is the more specific source.</w:t>
      </w:r>
    </w:p>
    <w:bookmarkEnd w:id="11"/>
    <w:bookmarkStart w:id="12" w:name="sk-hynix-primary-evidence"/>
    <w:p>
      <w:pPr>
        <w:pStyle w:val="Heading3"/>
      </w:pPr>
      <w:r>
        <w:t xml:space="preserve">SK Hynix primary evidence</w:t>
      </w:r>
    </w:p>
    <w:p>
      <w:pPr>
        <w:pStyle w:val="FirstParagraph"/>
      </w:pPr>
      <w:r>
        <w:t xml:space="preserve">SK Hynix release:</w:t>
      </w:r>
      <w:r>
        <w:br/>
      </w:r>
      <w:r>
        <w:t xml:space="preserve">https://news.skhynix.com/skhynix-lists-adrs-on-nasdaq/</w:t>
      </w:r>
    </w:p>
    <w:p>
      <w:pPr>
        <w:pStyle w:val="BodyText"/>
      </w:pPr>
      <w:r>
        <w:t xml:space="preserve">SK Hynix states:</w:t>
      </w:r>
    </w:p>
    <w:p>
      <w:pPr>
        <w:pStyle w:val="BlockText"/>
      </w:pPr>
      <w:r>
        <w:t xml:space="preserve">“Following today’s successful trading debut, the ADR offering is scheduled to close on July 14 (U.S. Eastern Time). The newly issued common shares underlying the ADRs will be additionally listed on the KOSPI Market of the Korea Exchange on July 29 (Korea Time).”</w:t>
      </w:r>
    </w:p>
    <w:bookmarkEnd w:id="12"/>
    <w:bookmarkStart w:id="13" w:name="conclusion"/>
    <w:p>
      <w:pPr>
        <w:pStyle w:val="Heading3"/>
      </w:pPr>
      <w:r>
        <w:t xml:space="preserve">Conclusion</w:t>
      </w:r>
    </w:p>
    <w:p>
      <w:pPr>
        <w:pStyle w:val="FirstParagraph"/>
      </w:pPr>
      <w:r>
        <w:t xml:space="preserve">The July 29 claim is</w:t>
      </w:r>
      <w:r>
        <w:t xml:space="preserve"> </w:t>
      </w:r>
      <w:r>
        <w:rPr>
          <w:b/>
          <w:bCs/>
        </w:rPr>
        <w:t xml:space="preserve">true as a book/listing milestone</w:t>
      </w:r>
      <w:r>
        <w:t xml:space="preserve">, but it is</w:t>
      </w:r>
      <w:r>
        <w:t xml:space="preserve"> </w:t>
      </w:r>
      <w:r>
        <w:rPr>
          <w:b/>
          <w:bCs/>
        </w:rPr>
        <w:t xml:space="preserve">not proof of unlimited two-way arbitrage</w:t>
      </w:r>
      <w:r>
        <w:t xml:space="preserve">. The operational reopening is better described as</w:t>
      </w:r>
      <w:r>
        <w:t xml:space="preserve"> </w:t>
      </w:r>
      <w:r>
        <w:rPr>
          <w:b/>
          <w:bCs/>
        </w:rPr>
        <w:t xml:space="preserve">July 30 New York open</w:t>
      </w:r>
      <w:r>
        <w:t xml:space="preserve">, after the July 29 Korea listing / transferability milestone.</w:t>
      </w:r>
    </w:p>
    <w:p>
      <w:r>
        <w:pict>
          <v:rect style="width:0;height:1.5pt" o:hralign="center" o:hrstd="t" o:hr="t"/>
        </w:pict>
      </w:r>
    </w:p>
    <w:bookmarkEnd w:id="13"/>
    <w:bookmarkEnd w:id="14"/>
    <w:bookmarkStart w:id="16" w:name="what-exactly-is-restricted-today"/>
    <w:p>
      <w:pPr>
        <w:pStyle w:val="Heading2"/>
      </w:pPr>
      <w:r>
        <w:t xml:space="preserve">2. What Exactly Is Restricted Today?</w:t>
      </w:r>
    </w:p>
    <w:p>
      <w:pPr>
        <w:pStyle w:val="FirstParagraph"/>
      </w:pPr>
      <w:r>
        <w:t xml:space="preserve">As of the Citi notice:</w:t>
      </w:r>
    </w:p>
    <w:p>
      <w:pPr>
        <w:pStyle w:val="Compact"/>
        <w:numPr>
          <w:ilvl w:val="0"/>
          <w:numId w:val="1003"/>
        </w:numPr>
      </w:pPr>
      <w:r>
        <w:rPr>
          <w:b/>
          <w:bCs/>
        </w:rPr>
        <w:t xml:space="preserve">ADR issuance / creation:</w:t>
      </w:r>
      <w:r>
        <w:t xml:space="preserve"> </w:t>
      </w:r>
      <w:r>
        <w:t xml:space="preserve">closed from July 14 through close of business July 29 New York time.</w:t>
      </w:r>
    </w:p>
    <w:p>
      <w:pPr>
        <w:pStyle w:val="Compact"/>
        <w:numPr>
          <w:ilvl w:val="0"/>
          <w:numId w:val="1003"/>
        </w:numPr>
      </w:pPr>
      <w:r>
        <w:rPr>
          <w:b/>
          <w:bCs/>
        </w:rPr>
        <w:t xml:space="preserve">ADR cancellation / withdrawal:</w:t>
      </w:r>
      <w:r>
        <w:t xml:space="preserve"> </w:t>
      </w:r>
      <w:r>
        <w:t xml:space="preserve">also closed for the same period.</w:t>
      </w:r>
    </w:p>
    <w:p>
      <w:pPr>
        <w:pStyle w:val="Compact"/>
        <w:numPr>
          <w:ilvl w:val="0"/>
          <w:numId w:val="1003"/>
        </w:numPr>
      </w:pPr>
      <w:r>
        <w:rPr>
          <w:b/>
          <w:bCs/>
        </w:rPr>
        <w:t xml:space="preserve">Nasdaq trading of SKHY ADRs:</w:t>
      </w:r>
      <w:r>
        <w:t xml:space="preserve"> </w:t>
      </w:r>
      <w:r>
        <w:t xml:space="preserve">open in the secondary market.</w:t>
      </w:r>
    </w:p>
    <w:p>
      <w:pPr>
        <w:pStyle w:val="Compact"/>
        <w:numPr>
          <w:ilvl w:val="0"/>
          <w:numId w:val="1003"/>
        </w:numPr>
      </w:pPr>
      <w:r>
        <w:rPr>
          <w:b/>
          <w:bCs/>
        </w:rPr>
        <w:t xml:space="preserve">KRX trading of 000660 Seoul shares:</w:t>
      </w:r>
      <w:r>
        <w:t xml:space="preserve"> </w:t>
      </w:r>
      <w:r>
        <w:t xml:space="preserve">open subject to normal Korean-market access.</w:t>
      </w:r>
    </w:p>
    <w:p>
      <w:pPr>
        <w:pStyle w:val="Compact"/>
        <w:numPr>
          <w:ilvl w:val="0"/>
          <w:numId w:val="1003"/>
        </w:numPr>
      </w:pPr>
      <w:r>
        <w:rPr>
          <w:b/>
          <w:bCs/>
        </w:rPr>
        <w:t xml:space="preserve">Depositing Korean common shares into the ADR facility:</w:t>
      </w:r>
      <w:r>
        <w:t xml:space="preserve"> </w:t>
      </w:r>
      <w:r>
        <w:t xml:space="preserve">not operationally available during the closure, and still conditional after reopening.</w:t>
      </w:r>
    </w:p>
    <w:p>
      <w:pPr>
        <w:pStyle w:val="FirstParagraph"/>
      </w:pPr>
      <w:r>
        <w:t xml:space="preserve">SEC prospectus:</w:t>
      </w:r>
      <w:r>
        <w:br/>
      </w:r>
      <w:r>
        <w:t xml:space="preserve">https://www.sec.gov/Archives/edgar/data/2120882/000119312526299963/d32785d424b4.htm</w:t>
      </w:r>
    </w:p>
    <w:p>
      <w:pPr>
        <w:pStyle w:val="BodyText"/>
      </w:pPr>
      <w:r>
        <w:t xml:space="preserve">The prospectus says:</w:t>
      </w:r>
    </w:p>
    <w:p>
      <w:pPr>
        <w:pStyle w:val="BlockText"/>
      </w:pPr>
      <w:r>
        <w:t xml:space="preserve">“No Korean governmental approval is necessary for the sale and purchase of ADSs in the secondary market outside Korea or for the withdrawal of shares underlying ADSs and the delivery of shares in Korea in connection with the withdrawal.”</w:t>
      </w:r>
    </w:p>
    <w:p>
      <w:pPr>
        <w:pStyle w:val="FirstParagraph"/>
      </w:pPr>
      <w:r>
        <w:t xml:space="preserve">But it also warns:</w:t>
      </w:r>
    </w:p>
    <w:p>
      <w:pPr>
        <w:pStyle w:val="BlockText"/>
      </w:pPr>
      <w:r>
        <w:t xml:space="preserve">“Therefore, a holder of ADRs who surrenders ADRs and withdraws shares may not be permitted subsequently to deposit those shares and obtain ADRs.”</w:t>
      </w:r>
    </w:p>
    <w:bookmarkStart w:id="15" w:name="plain-english-interpretation"/>
    <w:p>
      <w:pPr>
        <w:pStyle w:val="Heading3"/>
      </w:pPr>
      <w:r>
        <w:t xml:space="preserve">Plain-English interpretation</w:t>
      </w:r>
    </w:p>
    <w:p>
      <w:pPr>
        <w:pStyle w:val="FirstParagraph"/>
      </w:pPr>
      <w:r>
        <w:t xml:space="preserve">Withdrawal and redeposit are asymmetric. Holding SKHY does not guarantee a frictionless round trip into Seoul shares and back into SKHY. Deposits are where the heavier restrictions sit.</w:t>
      </w:r>
    </w:p>
    <w:p>
      <w:r>
        <w:pict>
          <v:rect style="width:0;height:1.5pt" o:hralign="center" o:hrstd="t" o:hr="t"/>
        </w:pict>
      </w:r>
    </w:p>
    <w:bookmarkEnd w:id="15"/>
    <w:bookmarkEnd w:id="16"/>
    <w:bookmarkStart w:id="27" w:name="deposit-agreement-key-clauses"/>
    <w:p>
      <w:pPr>
        <w:pStyle w:val="Heading2"/>
      </w:pPr>
      <w:r>
        <w:t xml:space="preserve">3. Deposit Agreement: Key Clauses</w:t>
      </w:r>
    </w:p>
    <w:p>
      <w:pPr>
        <w:pStyle w:val="FirstParagraph"/>
      </w:pPr>
      <w:r>
        <w:t xml:space="preserve">Deposit agreement:</w:t>
      </w:r>
      <w:r>
        <w:br/>
      </w:r>
      <w:r>
        <w:t xml:space="preserve">https://www.sec.gov/Archives/edgar/data/2120882/000119380526000898/e665622_ex99-a.htm</w:t>
      </w:r>
    </w:p>
    <w:bookmarkStart w:id="17" w:name="section-2.3-deposit-of-shares"/>
    <w:p>
      <w:pPr>
        <w:pStyle w:val="Heading3"/>
      </w:pPr>
      <w:r>
        <w:t xml:space="preserve">Section 2.3 — Deposit of Shares</w:t>
      </w:r>
    </w:p>
    <w:p>
      <w:pPr>
        <w:pStyle w:val="FirstParagraph"/>
      </w:pPr>
      <w:r>
        <w:t xml:space="preserve">The agreement begins broadly:</w:t>
      </w:r>
    </w:p>
    <w:p>
      <w:pPr>
        <w:pStyle w:val="BlockText"/>
      </w:pPr>
      <w:r>
        <w:t xml:space="preserve">“Shares… may be deposited by any person… at any time…”</w:t>
      </w:r>
    </w:p>
    <w:p>
      <w:pPr>
        <w:pStyle w:val="FirstParagraph"/>
      </w:pPr>
      <w:r>
        <w:t xml:space="preserve">This sounds permissive, but the conditions are substantial. Every deposit must include:</w:t>
      </w:r>
    </w:p>
    <w:p>
      <w:pPr>
        <w:pStyle w:val="BlockText"/>
      </w:pPr>
      <w:r>
        <w:t xml:space="preserve">“evidence… that all necessary approvals have been granted by, or any applicable filings have been made with, any applicable governmental agency in the Republic of Korea…”</w:t>
      </w:r>
    </w:p>
    <w:p>
      <w:pPr>
        <w:pStyle w:val="FirstParagraph"/>
      </w:pPr>
      <w:r>
        <w:t xml:space="preserve">The depositary is also restricted from knowingly accepting shares if:</w:t>
      </w:r>
    </w:p>
    <w:p>
      <w:pPr>
        <w:pStyle w:val="BlockText"/>
      </w:pPr>
      <w:r>
        <w:t xml:space="preserve">“the deposit of which would violate any provisions of the Articles of Incorporation or the laws of the Republic of Korea.”</w:t>
      </w:r>
    </w:p>
    <w:p>
      <w:pPr>
        <w:pStyle w:val="FirstParagraph"/>
      </w:pPr>
      <w:r>
        <w:t xml:space="preserve">The company can also cap deposits:</w:t>
      </w:r>
    </w:p>
    <w:p>
      <w:pPr>
        <w:pStyle w:val="BlockText"/>
      </w:pPr>
      <w:r>
        <w:t xml:space="preserve">“Each of the Depositary and the Custodian shall refuse to accept Shares for deposit… if… such deposit would cause the total number of Shares deposited to exceed a level from time to time determined by the Company.”</w:t>
      </w:r>
    </w:p>
    <w:p>
      <w:pPr>
        <w:pStyle w:val="FirstParagraph"/>
      </w:pPr>
      <w:r>
        <w:t xml:space="preserve">Citi may require company consent:</w:t>
      </w:r>
    </w:p>
    <w:p>
      <w:pPr>
        <w:pStyle w:val="BlockText"/>
      </w:pPr>
      <w:r>
        <w:t xml:space="preserve">“The Depositary may, at any time and from time to time, require that any deposit of Shares hereunder be subject to the prior receipt by the Depositary of a written consent from the Company…”</w:t>
      </w:r>
    </w:p>
    <w:p>
      <w:pPr>
        <w:pStyle w:val="FirstParagraph"/>
      </w:pPr>
      <w:r>
        <w:t xml:space="preserve">And Citi can refuse deposits without that consent:</w:t>
      </w:r>
    </w:p>
    <w:p>
      <w:pPr>
        <w:pStyle w:val="BlockText"/>
      </w:pPr>
      <w:r>
        <w:t xml:space="preserve">“The Depositary and the Custodian shall be entitled to refuse to accept any Shares for deposit for which such consent has not been received.”</w:t>
      </w:r>
    </w:p>
    <w:bookmarkEnd w:id="17"/>
    <w:bookmarkStart w:id="18" w:name="plain-english"/>
    <w:p>
      <w:pPr>
        <w:pStyle w:val="Heading3"/>
      </w:pPr>
      <w:r>
        <w:t xml:space="preserve">Plain English</w:t>
      </w:r>
    </w:p>
    <w:p>
      <w:pPr>
        <w:pStyle w:val="FirstParagraph"/>
      </w:pPr>
      <w:r>
        <w:t xml:space="preserve">The headline rule says shares may be deposited by any person, but the practical rule is:</w:t>
      </w:r>
      <w:r>
        <w:t xml:space="preserve"> </w:t>
      </w:r>
      <w:r>
        <w:rPr>
          <w:b/>
          <w:bCs/>
        </w:rPr>
        <w:t xml:space="preserve">Citi can require Korean-law evidence, SK Hynix written consent, compliance filings, and can refuse deposits if the company has imposed a cap or restriction.</w:t>
      </w:r>
    </w:p>
    <w:bookmarkEnd w:id="18"/>
    <w:bookmarkStart w:id="19" w:name="section-2.5-issuance-of-adss"/>
    <w:p>
      <w:pPr>
        <w:pStyle w:val="Heading3"/>
      </w:pPr>
      <w:r>
        <w:t xml:space="preserve">Section 2.5 — Issuance of ADSs</w:t>
      </w:r>
    </w:p>
    <w:p>
      <w:pPr>
        <w:pStyle w:val="FirstParagraph"/>
      </w:pPr>
      <w:r>
        <w:t xml:space="preserve">Citi issues ADSs only after custody confirmation and compliance conditions are satisfied:</w:t>
      </w:r>
    </w:p>
    <w:p>
      <w:pPr>
        <w:pStyle w:val="BlockText"/>
      </w:pPr>
      <w:r>
        <w:t xml:space="preserve">“Upon receiving such notice from the Custodian, the Depositary, subject to the terms and conditions of the Deposit Agreement and applicable law, shall issue the ADSs…”</w:t>
      </w:r>
    </w:p>
    <w:bookmarkEnd w:id="19"/>
    <w:bookmarkStart w:id="20" w:name="plain-english-1"/>
    <w:p>
      <w:pPr>
        <w:pStyle w:val="Heading3"/>
      </w:pPr>
      <w:r>
        <w:t xml:space="preserve">Plain English</w:t>
      </w:r>
    </w:p>
    <w:p>
      <w:pPr>
        <w:pStyle w:val="FirstParagraph"/>
      </w:pPr>
      <w:r>
        <w:t xml:space="preserve">Issuance is a custody-and-documentation workflow, not an automatic screen trade.</w:t>
      </w:r>
    </w:p>
    <w:bookmarkEnd w:id="20"/>
    <w:bookmarkStart w:id="21" w:name="section-2.7-surrender-and-withdrawal"/>
    <w:p>
      <w:pPr>
        <w:pStyle w:val="Heading3"/>
      </w:pPr>
      <w:r>
        <w:t xml:space="preserve">Section 2.7 — Surrender and Withdrawal</w:t>
      </w:r>
    </w:p>
    <w:p>
      <w:pPr>
        <w:pStyle w:val="FirstParagraph"/>
      </w:pPr>
      <w:r>
        <w:t xml:space="preserve">ADR holders generally have a withdrawal right:</w:t>
      </w:r>
    </w:p>
    <w:p>
      <w:pPr>
        <w:pStyle w:val="BlockText"/>
      </w:pPr>
      <w:r>
        <w:t xml:space="preserve">“The Holder of ADSs shall be entitled to Delivery… of the Deposited Securities…”</w:t>
      </w:r>
    </w:p>
    <w:p>
      <w:pPr>
        <w:pStyle w:val="FirstParagraph"/>
      </w:pPr>
      <w:r>
        <w:t xml:space="preserve">But only subject to:</w:t>
      </w:r>
    </w:p>
    <w:p>
      <w:pPr>
        <w:pStyle w:val="BlockText"/>
      </w:pPr>
      <w:r>
        <w:t xml:space="preserve">“applicable ADS fees… taxes and governmental charges… applicable laws and the rules of the CSD…”</w:t>
      </w:r>
    </w:p>
    <w:bookmarkEnd w:id="21"/>
    <w:bookmarkStart w:id="22" w:name="plain-english-2"/>
    <w:p>
      <w:pPr>
        <w:pStyle w:val="Heading3"/>
      </w:pPr>
      <w:r>
        <w:t xml:space="preserve">Plain English</w:t>
      </w:r>
    </w:p>
    <w:p>
      <w:pPr>
        <w:pStyle w:val="FirstParagraph"/>
      </w:pPr>
      <w:r>
        <w:t xml:space="preserve">ADR holders can generally cancel ADSs and receive Korean shares, but that right can be delayed or restricted by fees, taxes, law, CSD rules, and book closures.</w:t>
      </w:r>
    </w:p>
    <w:bookmarkEnd w:id="22"/>
    <w:bookmarkStart w:id="23" w:name="Xfac3697d870046b8b6f19dacb250fa51837d227"/>
    <w:p>
      <w:pPr>
        <w:pStyle w:val="Heading3"/>
      </w:pPr>
      <w:r>
        <w:t xml:space="preserve">Section 2.8 / transfer-book mechanics — Suspension and refusal rights</w:t>
      </w:r>
    </w:p>
    <w:p>
      <w:pPr>
        <w:pStyle w:val="FirstParagraph"/>
      </w:pPr>
      <w:r>
        <w:t xml:space="preserve">The agreement allows issuance or deposit to be suspended or refused under broad conditions. Citi and the company have meaningful discretion to close books, refuse deposits, or pause issuance when legal, market, or operational conditions require.</w:t>
      </w:r>
    </w:p>
    <w:bookmarkEnd w:id="23"/>
    <w:bookmarkStart w:id="24" w:name="section-3.3-depositor-representations"/>
    <w:p>
      <w:pPr>
        <w:pStyle w:val="Heading3"/>
      </w:pPr>
      <w:r>
        <w:t xml:space="preserve">Section 3.3 — Depositor representations</w:t>
      </w:r>
    </w:p>
    <w:p>
      <w:pPr>
        <w:pStyle w:val="FirstParagraph"/>
      </w:pPr>
      <w:r>
        <w:t xml:space="preserve">Each depositor represents that it has complied with Korean law:</w:t>
      </w:r>
    </w:p>
    <w:p>
      <w:pPr>
        <w:pStyle w:val="BlockText"/>
      </w:pPr>
      <w:r>
        <w:t xml:space="preserve">“the person making such deposit has obtained all necessary approvals from any applicable governmental agency in the Republic of Korea, made all applicable filings with any such governmental agency, and otherwise complied with all applicable laws of the Republic of Korea…”</w:t>
      </w:r>
    </w:p>
    <w:bookmarkEnd w:id="24"/>
    <w:bookmarkStart w:id="25" w:name="plain-english-3"/>
    <w:p>
      <w:pPr>
        <w:pStyle w:val="Heading3"/>
      </w:pPr>
      <w:r>
        <w:t xml:space="preserve">Plain English</w:t>
      </w:r>
    </w:p>
    <w:p>
      <w:pPr>
        <w:pStyle w:val="FirstParagraph"/>
      </w:pPr>
      <w:r>
        <w:t xml:space="preserve">If an institution wants to create SKHY ADRs from Korean shares, the institution is effectively representing that all Korean approvals, filings, and legal conditions are satisfied.</w:t>
      </w:r>
    </w:p>
    <w:bookmarkEnd w:id="25"/>
    <w:bookmarkStart w:id="26" w:name="exhibit-b-fees"/>
    <w:p>
      <w:pPr>
        <w:pStyle w:val="Heading3"/>
      </w:pPr>
      <w:r>
        <w:t xml:space="preserve">Exhibit B — Fees</w:t>
      </w:r>
    </w:p>
    <w:p>
      <w:pPr>
        <w:pStyle w:val="FirstParagraph"/>
      </w:pPr>
      <w:r>
        <w:t xml:space="preserve">The deposit agreement allows:</w:t>
      </w:r>
    </w:p>
    <w:p>
      <w:pPr>
        <w:pStyle w:val="BlockText"/>
      </w:pPr>
      <w:r>
        <w:t xml:space="preserve">“Issuance of ADSs… Up to U.S.$5.00 per 100 ADSs…”</w:t>
      </w:r>
    </w:p>
    <w:p>
      <w:pPr>
        <w:pStyle w:val="FirstParagraph"/>
      </w:pPr>
      <w:r>
        <w:t xml:space="preserve">and:</w:t>
      </w:r>
    </w:p>
    <w:p>
      <w:pPr>
        <w:pStyle w:val="BlockText"/>
      </w:pPr>
      <w:r>
        <w:t xml:space="preserve">“Cancellation of ADSs… Up to U.S.$5.00 per 100 ADSs…”</w:t>
      </w:r>
    </w:p>
    <w:p>
      <w:pPr>
        <w:pStyle w:val="FirstParagraph"/>
      </w:pPr>
      <w:r>
        <w:t xml:space="preserve">Given the ratio of</w:t>
      </w:r>
      <w:r>
        <w:t xml:space="preserve"> </w:t>
      </w:r>
      <w:r>
        <w:rPr>
          <w:b/>
          <w:bCs/>
        </w:rPr>
        <w:t xml:space="preserve">1 ordinary share : 10 ADSs</w:t>
      </w:r>
      <w:r>
        <w:t xml:space="preserve">, an institution buying</w:t>
      </w:r>
      <w:r>
        <w:t xml:space="preserve"> </w:t>
      </w:r>
      <w:r>
        <w:rPr>
          <w:b/>
          <w:bCs/>
        </w:rPr>
        <w:t xml:space="preserve">100,000 Seoul shares</w:t>
      </w:r>
      <w:r>
        <w:t xml:space="preserve"> </w:t>
      </w:r>
      <w:r>
        <w:t xml:space="preserve">would seek</w:t>
      </w:r>
      <w:r>
        <w:t xml:space="preserve"> </w:t>
      </w:r>
      <w:r>
        <w:rPr>
          <w:b/>
          <w:bCs/>
        </w:rPr>
        <w:t xml:space="preserve">1,000,000 ADSs</w:t>
      </w:r>
      <w:r>
        <w:t xml:space="preserve">. Citi’s issuance fee alone could be up to</w:t>
      </w:r>
      <w:r>
        <w:t xml:space="preserve"> </w:t>
      </w:r>
      <w:r>
        <w:rPr>
          <w:b/>
          <w:bCs/>
        </w:rPr>
        <w:t xml:space="preserve">$50,000</w:t>
      </w:r>
      <w:r>
        <w:t xml:space="preserve">, before broker, custody, FX, tax, financing, and settlement costs.</w:t>
      </w:r>
    </w:p>
    <w:p>
      <w:r>
        <w:pict>
          <v:rect style="width:0;height:1.5pt" o:hralign="center" o:hrstd="t" o:hr="t"/>
        </w:pict>
      </w:r>
    </w:p>
    <w:bookmarkEnd w:id="26"/>
    <w:bookmarkEnd w:id="27"/>
    <w:bookmarkStart w:id="30" w:name="citi-books-investigation"/>
    <w:p>
      <w:pPr>
        <w:pStyle w:val="Heading2"/>
      </w:pPr>
      <w:r>
        <w:t xml:space="preserve">4. Citi Books Investigation</w:t>
      </w:r>
    </w:p>
    <w:bookmarkStart w:id="28" w:name="primary-citi-pages"/>
    <w:p>
      <w:pPr>
        <w:pStyle w:val="Heading3"/>
      </w:pPr>
      <w:r>
        <w:t xml:space="preserve">Primary Citi pages</w:t>
      </w:r>
    </w:p>
    <w:p>
      <w:pPr>
        <w:pStyle w:val="FirstParagraph"/>
      </w:pPr>
      <w:r>
        <w:t xml:space="preserve">Citi books page:</w:t>
      </w:r>
      <w:r>
        <w:br/>
      </w:r>
      <w:r>
        <w:t xml:space="preserve">https://depositaryreceipts.citi.com/adr/guides/pgm_dispabook.aspx?pageId=15&amp;subpageID=111&amp;cusip=78392B206</w:t>
      </w:r>
    </w:p>
    <w:p>
      <w:pPr>
        <w:pStyle w:val="BodyText"/>
      </w:pPr>
      <w:r>
        <w:t xml:space="preserve">Citi PDF notice:</w:t>
      </w:r>
      <w:r>
        <w:br/>
      </w:r>
      <w:r>
        <w:t xml:space="preserve">https://depositaryreceipts.citi.com/adr/guides/bookPdf.aspx?secId=SKHY&amp;dmcid=556973172</w:t>
      </w:r>
    </w:p>
    <w:p>
      <w:pPr>
        <w:pStyle w:val="BodyText"/>
      </w:pPr>
      <w:r>
        <w:t xml:space="preserve">Citi capital raising page:</w:t>
      </w:r>
      <w:r>
        <w:br/>
      </w:r>
      <w:r>
        <w:t xml:space="preserve">https://depositaryreceipts.citi.com/adr/guides/pgm_d.aspx?typeDisplay=C&amp;pageId=15&amp;subpageID=105&amp;cusip=78392B206</w:t>
      </w:r>
    </w:p>
    <w:p>
      <w:pPr>
        <w:pStyle w:val="BodyText"/>
      </w:pPr>
      <w:r>
        <w:t xml:space="preserve">Citi capital raising page shows:</w:t>
      </w:r>
    </w:p>
    <w:p>
      <w:pPr>
        <w:pStyle w:val="Compact"/>
        <w:numPr>
          <w:ilvl w:val="0"/>
          <w:numId w:val="1004"/>
        </w:numPr>
      </w:pPr>
      <w:r>
        <w:rPr>
          <w:b/>
          <w:bCs/>
        </w:rPr>
        <w:t xml:space="preserve">Date:</w:t>
      </w:r>
      <w:r>
        <w:t xml:space="preserve"> </w:t>
      </w:r>
      <w:r>
        <w:t xml:space="preserve">7/14/2026</w:t>
      </w:r>
    </w:p>
    <w:p>
      <w:pPr>
        <w:pStyle w:val="Compact"/>
        <w:numPr>
          <w:ilvl w:val="0"/>
          <w:numId w:val="1004"/>
        </w:numPr>
      </w:pPr>
      <w:r>
        <w:rPr>
          <w:b/>
          <w:bCs/>
        </w:rPr>
        <w:t xml:space="preserve">ADSs:</w:t>
      </w:r>
      <w:r>
        <w:t xml:space="preserve"> </w:t>
      </w:r>
      <w:r>
        <w:t xml:space="preserve">177,900,000</w:t>
      </w:r>
    </w:p>
    <w:p>
      <w:pPr>
        <w:pStyle w:val="Compact"/>
        <w:numPr>
          <w:ilvl w:val="0"/>
          <w:numId w:val="1004"/>
        </w:numPr>
      </w:pPr>
      <w:r>
        <w:rPr>
          <w:b/>
          <w:bCs/>
        </w:rPr>
        <w:t xml:space="preserve">Price:</w:t>
      </w:r>
      <w:r>
        <w:t xml:space="preserve"> </w:t>
      </w:r>
      <w:r>
        <w:t xml:space="preserve">$149.00</w:t>
      </w:r>
    </w:p>
    <w:p>
      <w:pPr>
        <w:pStyle w:val="Compact"/>
        <w:numPr>
          <w:ilvl w:val="0"/>
          <w:numId w:val="1004"/>
        </w:numPr>
      </w:pPr>
      <w:r>
        <w:rPr>
          <w:b/>
          <w:bCs/>
        </w:rPr>
        <w:t xml:space="preserve">Value:</w:t>
      </w:r>
      <w:r>
        <w:t xml:space="preserve"> </w:t>
      </w:r>
      <w:r>
        <w:t xml:space="preserve">$26,507,100,000</w:t>
      </w:r>
    </w:p>
    <w:p>
      <w:pPr>
        <w:pStyle w:val="Compact"/>
        <w:numPr>
          <w:ilvl w:val="0"/>
          <w:numId w:val="1004"/>
        </w:numPr>
      </w:pPr>
      <w:r>
        <w:rPr>
          <w:b/>
          <w:bCs/>
        </w:rPr>
        <w:t xml:space="preserve">Event type:</w:t>
      </w:r>
      <w:r>
        <w:t xml:space="preserve"> </w:t>
      </w:r>
      <w:r>
        <w:t xml:space="preserve">IPO</w:t>
      </w:r>
    </w:p>
    <w:p>
      <w:pPr>
        <w:pStyle w:val="Compact"/>
        <w:numPr>
          <w:ilvl w:val="0"/>
          <w:numId w:val="1004"/>
        </w:numPr>
      </w:pPr>
      <w:r>
        <w:rPr>
          <w:b/>
          <w:bCs/>
        </w:rPr>
        <w:t xml:space="preserve">Lead manager:</w:t>
      </w:r>
      <w:r>
        <w:t xml:space="preserve"> </w:t>
      </w:r>
      <w:r>
        <w:t xml:space="preserve">Bank of America</w:t>
      </w:r>
    </w:p>
    <w:p>
      <w:pPr>
        <w:pStyle w:val="Compact"/>
        <w:numPr>
          <w:ilvl w:val="0"/>
          <w:numId w:val="1004"/>
        </w:numPr>
      </w:pPr>
      <w:r>
        <w:rPr>
          <w:b/>
          <w:bCs/>
        </w:rPr>
        <w:t xml:space="preserve">Co-managers:</w:t>
      </w:r>
      <w:r>
        <w:t xml:space="preserve"> </w:t>
      </w:r>
      <w:r>
        <w:t xml:space="preserve">Citigroup Inc. and Goldman Sachs</w:t>
      </w:r>
    </w:p>
    <w:bookmarkEnd w:id="28"/>
    <w:bookmarkStart w:id="29" w:name="conclusion-1"/>
    <w:p>
      <w:pPr>
        <w:pStyle w:val="Heading3"/>
      </w:pPr>
      <w:r>
        <w:t xml:space="preserve">Conclusion</w:t>
      </w:r>
    </w:p>
    <w:p>
      <w:pPr>
        <w:pStyle w:val="FirstParagraph"/>
      </w:pPr>
      <w:r>
        <w:t xml:space="preserve">Citi has clearly documented a temporary books closure tied to KRX listing / transferability of the newly issued Korean shares. The most precise operational interpretation is:</w:t>
      </w:r>
    </w:p>
    <w:p>
      <w:pPr>
        <w:pStyle w:val="Compact"/>
        <w:numPr>
          <w:ilvl w:val="0"/>
          <w:numId w:val="1005"/>
        </w:numPr>
      </w:pPr>
      <w:r>
        <w:t xml:space="preserve">Books closed:</w:t>
      </w:r>
      <w:r>
        <w:t xml:space="preserve"> </w:t>
      </w:r>
      <w:r>
        <w:rPr>
          <w:b/>
          <w:bCs/>
        </w:rPr>
        <w:t xml:space="preserve">July 14, 2026</w:t>
      </w:r>
    </w:p>
    <w:p>
      <w:pPr>
        <w:pStyle w:val="Compact"/>
        <w:numPr>
          <w:ilvl w:val="0"/>
          <w:numId w:val="1005"/>
        </w:numPr>
      </w:pPr>
      <w:r>
        <w:t xml:space="preserve">Books reopen operationally:</w:t>
      </w:r>
      <w:r>
        <w:t xml:space="preserve"> </w:t>
      </w:r>
      <w:r>
        <w:rPr>
          <w:b/>
          <w:bCs/>
        </w:rPr>
        <w:t xml:space="preserve">open of business July 30, 2026 New York time</w:t>
      </w:r>
    </w:p>
    <w:p>
      <w:pPr>
        <w:pStyle w:val="Compact"/>
        <w:numPr>
          <w:ilvl w:val="0"/>
          <w:numId w:val="1005"/>
        </w:numPr>
      </w:pPr>
      <w:r>
        <w:t xml:space="preserve">Reason: newly issued Korean shares not transferable until KRX listing on</w:t>
      </w:r>
      <w:r>
        <w:t xml:space="preserve"> </w:t>
      </w:r>
      <w:r>
        <w:rPr>
          <w:b/>
          <w:bCs/>
        </w:rPr>
        <w:t xml:space="preserve">July 29 Seoul time</w:t>
      </w:r>
    </w:p>
    <w:p>
      <w:r>
        <w:pict>
          <v:rect style="width:0;height:1.5pt" o:hralign="center" o:hrstd="t" o:hr="t"/>
        </w:pict>
      </w:r>
    </w:p>
    <w:bookmarkEnd w:id="29"/>
    <w:bookmarkEnd w:id="30"/>
    <w:bookmarkStart w:id="35" w:name="is-arbitrage-actually-possible"/>
    <w:p>
      <w:pPr>
        <w:pStyle w:val="Heading2"/>
      </w:pPr>
      <w:r>
        <w:t xml:space="preserve">5. Is Arbitrage Actually Possible?</w:t>
      </w:r>
    </w:p>
    <w:bookmarkStart w:id="31" w:name="retail-investors"/>
    <w:p>
      <w:pPr>
        <w:pStyle w:val="Heading3"/>
      </w:pPr>
      <w:r>
        <w:t xml:space="preserve">Retail investors</w:t>
      </w:r>
    </w:p>
    <w:p>
      <w:pPr>
        <w:pStyle w:val="FirstParagraph"/>
      </w:pPr>
      <w:r>
        <w:t xml:space="preserve">For retail investors, this is</w:t>
      </w:r>
      <w:r>
        <w:t xml:space="preserve"> </w:t>
      </w:r>
      <w:r>
        <w:rPr>
          <w:b/>
          <w:bCs/>
        </w:rPr>
        <w:t xml:space="preserve">not practically arbitrageable</w:t>
      </w:r>
      <w:r>
        <w:t xml:space="preserve">.</w:t>
      </w:r>
    </w:p>
    <w:p>
      <w:pPr>
        <w:pStyle w:val="BodyText"/>
      </w:pPr>
      <w:r>
        <w:t xml:space="preserve">A retail investor can buy SKHY or, if their broker supports Korea access, buy 000660. But retail generally cannot directly instruct Citi, KSD, DTC participants, and Korean custodians to deposit Korean shares and mint SKHY ADRs.</w:t>
      </w:r>
    </w:p>
    <w:bookmarkEnd w:id="31"/>
    <w:bookmarkStart w:id="32" w:name="institutions"/>
    <w:p>
      <w:pPr>
        <w:pStyle w:val="Heading3"/>
      </w:pPr>
      <w:r>
        <w:t xml:space="preserve">Institutions</w:t>
      </w:r>
    </w:p>
    <w:p>
      <w:pPr>
        <w:pStyle w:val="FirstParagraph"/>
      </w:pPr>
      <w:r>
        <w:t xml:space="preserve">For institutions, an arbitrage may be possible after books reopen, but only if deposits are accepted and not capped.</w:t>
      </w:r>
    </w:p>
    <w:p>
      <w:pPr>
        <w:pStyle w:val="BodyText"/>
      </w:pPr>
      <w:r>
        <w:t xml:space="preserve">A simplified workflow:</w:t>
      </w:r>
    </w:p>
    <w:p>
      <w:pPr>
        <w:pStyle w:val="Compact"/>
        <w:numPr>
          <w:ilvl w:val="0"/>
          <w:numId w:val="1006"/>
        </w:numPr>
      </w:pPr>
      <w:r>
        <w:t xml:space="preserve">Buy SK Hynix common shares on KRX under ticker 000660.</w:t>
      </w:r>
    </w:p>
    <w:p>
      <w:pPr>
        <w:pStyle w:val="Compact"/>
        <w:numPr>
          <w:ilvl w:val="0"/>
          <w:numId w:val="1006"/>
        </w:numPr>
      </w:pPr>
      <w:r>
        <w:t xml:space="preserve">Settle and hold through Korean custodian / Korea Securities Depository.</w:t>
      </w:r>
    </w:p>
    <w:p>
      <w:pPr>
        <w:pStyle w:val="Compact"/>
        <w:numPr>
          <w:ilvl w:val="0"/>
          <w:numId w:val="1006"/>
        </w:numPr>
      </w:pPr>
      <w:r>
        <w:t xml:space="preserve">Submit ADR issuance instructions through a DTC participant and custody chain.</w:t>
      </w:r>
    </w:p>
    <w:p>
      <w:pPr>
        <w:pStyle w:val="Compact"/>
        <w:numPr>
          <w:ilvl w:val="0"/>
          <w:numId w:val="1006"/>
        </w:numPr>
      </w:pPr>
      <w:r>
        <w:t xml:space="preserve">Deliver Korean shares to Citi’s custodian.</w:t>
      </w:r>
    </w:p>
    <w:p>
      <w:pPr>
        <w:pStyle w:val="Compact"/>
        <w:numPr>
          <w:ilvl w:val="0"/>
          <w:numId w:val="1006"/>
        </w:numPr>
      </w:pPr>
      <w:r>
        <w:t xml:space="preserve">Provide required certifications, approvals, filings, and compliance evidence.</w:t>
      </w:r>
    </w:p>
    <w:p>
      <w:pPr>
        <w:pStyle w:val="Compact"/>
        <w:numPr>
          <w:ilvl w:val="0"/>
          <w:numId w:val="1006"/>
        </w:numPr>
      </w:pPr>
      <w:r>
        <w:t xml:space="preserve">Citi confirms deposit conditions.</w:t>
      </w:r>
    </w:p>
    <w:p>
      <w:pPr>
        <w:pStyle w:val="Compact"/>
        <w:numPr>
          <w:ilvl w:val="0"/>
          <w:numId w:val="1006"/>
        </w:numPr>
      </w:pPr>
      <w:r>
        <w:t xml:space="preserve">Citi issues SKHY ADSs into DTC.</w:t>
      </w:r>
    </w:p>
    <w:p>
      <w:pPr>
        <w:pStyle w:val="Compact"/>
        <w:numPr>
          <w:ilvl w:val="0"/>
          <w:numId w:val="1006"/>
        </w:numPr>
      </w:pPr>
      <w:r>
        <w:t xml:space="preserve">Institution sells SKHY in the U.S. market.</w:t>
      </w:r>
    </w:p>
    <w:bookmarkEnd w:id="32"/>
    <w:bookmarkStart w:id="33" w:name="practical-frictions"/>
    <w:p>
      <w:pPr>
        <w:pStyle w:val="Heading3"/>
      </w:pPr>
      <w:r>
        <w:t xml:space="preserve">Practical frictions</w:t>
      </w:r>
    </w:p>
    <w:p>
      <w:pPr>
        <w:pStyle w:val="Compact"/>
        <w:numPr>
          <w:ilvl w:val="0"/>
          <w:numId w:val="1007"/>
        </w:numPr>
      </w:pPr>
      <w:r>
        <w:t xml:space="preserve">Citi books closed until July 29/30.</w:t>
      </w:r>
    </w:p>
    <w:p>
      <w:pPr>
        <w:pStyle w:val="Compact"/>
        <w:numPr>
          <w:ilvl w:val="0"/>
          <w:numId w:val="1007"/>
        </w:numPr>
      </w:pPr>
      <w:r>
        <w:t xml:space="preserve">Korean shares not transferable until KRX listing.</w:t>
      </w:r>
    </w:p>
    <w:p>
      <w:pPr>
        <w:pStyle w:val="Compact"/>
        <w:numPr>
          <w:ilvl w:val="0"/>
          <w:numId w:val="1007"/>
        </w:numPr>
      </w:pPr>
      <w:r>
        <w:t xml:space="preserve">SK Hynix consent may be required.</w:t>
      </w:r>
    </w:p>
    <w:p>
      <w:pPr>
        <w:pStyle w:val="Compact"/>
        <w:numPr>
          <w:ilvl w:val="0"/>
          <w:numId w:val="1007"/>
        </w:numPr>
      </w:pPr>
      <w:r>
        <w:t xml:space="preserve">Deposits above initially deposited/common authorized levels may need issuer consent.</w:t>
      </w:r>
    </w:p>
    <w:p>
      <w:pPr>
        <w:pStyle w:val="Compact"/>
        <w:numPr>
          <w:ilvl w:val="0"/>
          <w:numId w:val="1007"/>
        </w:numPr>
      </w:pPr>
      <w:r>
        <w:t xml:space="preserve">Citi can refuse deposits.</w:t>
      </w:r>
    </w:p>
    <w:p>
      <w:pPr>
        <w:pStyle w:val="Compact"/>
        <w:numPr>
          <w:ilvl w:val="0"/>
          <w:numId w:val="1007"/>
        </w:numPr>
      </w:pPr>
      <w:r>
        <w:t xml:space="preserve">Korean filings/reporting may apply.</w:t>
      </w:r>
    </w:p>
    <w:p>
      <w:pPr>
        <w:pStyle w:val="Compact"/>
        <w:numPr>
          <w:ilvl w:val="0"/>
          <w:numId w:val="1007"/>
        </w:numPr>
      </w:pPr>
      <w:r>
        <w:t xml:space="preserve">FX conversion or hedging costs.</w:t>
      </w:r>
    </w:p>
    <w:p>
      <w:pPr>
        <w:pStyle w:val="Compact"/>
        <w:numPr>
          <w:ilvl w:val="0"/>
          <w:numId w:val="1007"/>
        </w:numPr>
      </w:pPr>
      <w:r>
        <w:t xml:space="preserve">Custody and settlement timing.</w:t>
      </w:r>
    </w:p>
    <w:p>
      <w:pPr>
        <w:pStyle w:val="Compact"/>
        <w:numPr>
          <w:ilvl w:val="0"/>
          <w:numId w:val="1007"/>
        </w:numPr>
      </w:pPr>
      <w:r>
        <w:t xml:space="preserve">ADR issuance fees.</w:t>
      </w:r>
    </w:p>
    <w:p>
      <w:pPr>
        <w:pStyle w:val="Compact"/>
        <w:numPr>
          <w:ilvl w:val="0"/>
          <w:numId w:val="1007"/>
        </w:numPr>
      </w:pPr>
      <w:r>
        <w:t xml:space="preserve">Broker/custody fees.</w:t>
      </w:r>
    </w:p>
    <w:p>
      <w:pPr>
        <w:pStyle w:val="Compact"/>
        <w:numPr>
          <w:ilvl w:val="0"/>
          <w:numId w:val="1007"/>
        </w:numPr>
      </w:pPr>
      <w:r>
        <w:t xml:space="preserve">Short-borrow availability if arbitrageur shorts SKHY before receiving ADRs.</w:t>
      </w:r>
    </w:p>
    <w:p>
      <w:pPr>
        <w:pStyle w:val="Compact"/>
        <w:numPr>
          <w:ilvl w:val="0"/>
          <w:numId w:val="1007"/>
        </w:numPr>
      </w:pPr>
      <w:r>
        <w:t xml:space="preserve">Market risk while waiting for conversion.</w:t>
      </w:r>
    </w:p>
    <w:bookmarkEnd w:id="33"/>
    <w:bookmarkStart w:id="34" w:name="conclusion-2"/>
    <w:p>
      <w:pPr>
        <w:pStyle w:val="Heading3"/>
      </w:pPr>
      <w:r>
        <w:t xml:space="preserve">Conclusion</w:t>
      </w:r>
    </w:p>
    <w:p>
      <w:pPr>
        <w:pStyle w:val="FirstParagraph"/>
      </w:pPr>
      <w:r>
        <w:t xml:space="preserve">There may be an institutional arbitrage, but it is not a clean one-click trade. The key test is whether Citi accepts meaningful creation volume after reopening.</w:t>
      </w:r>
    </w:p>
    <w:p>
      <w:r>
        <w:pict>
          <v:rect style="width:0;height:1.5pt" o:hralign="center" o:hrstd="t" o:hr="t"/>
        </w:pict>
      </w:r>
    </w:p>
    <w:bookmarkEnd w:id="34"/>
    <w:bookmarkEnd w:id="35"/>
    <w:bookmarkStart w:id="37" w:name="does-korean-regulation-prevent-this"/>
    <w:p>
      <w:pPr>
        <w:pStyle w:val="Heading2"/>
      </w:pPr>
      <w:r>
        <w:t xml:space="preserve">6. Does Korean Regulation Prevent This?</w:t>
      </w:r>
    </w:p>
    <w:p>
      <w:pPr>
        <w:pStyle w:val="FirstParagraph"/>
      </w:pPr>
      <w:r>
        <w:t xml:space="preserve">Korean regulation is a significant gating factor, but not the only one.</w:t>
      </w:r>
    </w:p>
    <w:p>
      <w:pPr>
        <w:pStyle w:val="BodyText"/>
      </w:pPr>
      <w:r>
        <w:t xml:space="preserve">The SEC prospectus explains that SK Hynix was required to file a Korean securities registration statement:</w:t>
      </w:r>
    </w:p>
    <w:p>
      <w:pPr>
        <w:pStyle w:val="BlockText"/>
      </w:pPr>
      <w:r>
        <w:t xml:space="preserve">“we are required to file a securities registration statement with the FSC and such securities registration statement must become effective…”</w:t>
      </w:r>
    </w:p>
    <w:p>
      <w:pPr>
        <w:pStyle w:val="FirstParagraph"/>
      </w:pPr>
      <w:r>
        <w:t xml:space="preserve">The prospectus also describes foreign exchange reporting:</w:t>
      </w:r>
    </w:p>
    <w:p>
      <w:pPr>
        <w:pStyle w:val="BlockText"/>
      </w:pPr>
      <w:r>
        <w:t xml:space="preserve">“we are required to file a securities issuance report with the Ministry of Finance and Economy via our designated foreign exchange bank…”</w:t>
      </w:r>
    </w:p>
    <w:p>
      <w:pPr>
        <w:pStyle w:val="FirstParagraph"/>
      </w:pPr>
      <w:r>
        <w:t xml:space="preserve">For ongoing deposits, the prospectus states:</w:t>
      </w:r>
    </w:p>
    <w:p>
      <w:pPr>
        <w:pStyle w:val="BlockText"/>
      </w:pPr>
      <w:r>
        <w:t xml:space="preserve">“the depositary is required to obtain our prior consent for any proposed deposit… if the number of shares to be deposited… exceeds the number of common shares initially deposited by us for the issuance of ADSs…”</w:t>
      </w:r>
    </w:p>
    <w:bookmarkStart w:id="36" w:name="bottleneck-stack"/>
    <w:p>
      <w:pPr>
        <w:pStyle w:val="Heading3"/>
      </w:pPr>
      <w:r>
        <w:t xml:space="preserve">Bottleneck stack</w:t>
      </w:r>
    </w:p>
    <w:p>
      <w:pPr>
        <w:pStyle w:val="FirstParagraph"/>
      </w:pPr>
      <w:r>
        <w:t xml:space="preserve">The bottleneck appears to be a combination of:</w:t>
      </w:r>
    </w:p>
    <w:p>
      <w:pPr>
        <w:pStyle w:val="Compact"/>
        <w:numPr>
          <w:ilvl w:val="0"/>
          <w:numId w:val="1008"/>
        </w:numPr>
      </w:pPr>
      <w:r>
        <w:rPr>
          <w:b/>
          <w:bCs/>
        </w:rPr>
        <w:t xml:space="preserve">KRX listing / transferability</w:t>
      </w:r>
      <w:r>
        <w:t xml:space="preserve"> </w:t>
      </w:r>
      <w:r>
        <w:t xml:space="preserve">of newly issued shares.</w:t>
      </w:r>
    </w:p>
    <w:p>
      <w:pPr>
        <w:pStyle w:val="Compact"/>
        <w:numPr>
          <w:ilvl w:val="0"/>
          <w:numId w:val="1008"/>
        </w:numPr>
      </w:pPr>
      <w:r>
        <w:rPr>
          <w:b/>
          <w:bCs/>
        </w:rPr>
        <w:t xml:space="preserve">Korean securities and foreign-exchange filings.</w:t>
      </w:r>
    </w:p>
    <w:p>
      <w:pPr>
        <w:pStyle w:val="Compact"/>
        <w:numPr>
          <w:ilvl w:val="0"/>
          <w:numId w:val="1008"/>
        </w:numPr>
      </w:pPr>
      <w:r>
        <w:rPr>
          <w:b/>
          <w:bCs/>
        </w:rPr>
        <w:t xml:space="preserve">SK Hynix consent and possible deposit caps.</w:t>
      </w:r>
    </w:p>
    <w:p>
      <w:pPr>
        <w:pStyle w:val="Compact"/>
        <w:numPr>
          <w:ilvl w:val="0"/>
          <w:numId w:val="1008"/>
        </w:numPr>
      </w:pPr>
      <w:r>
        <w:rPr>
          <w:b/>
          <w:bCs/>
        </w:rPr>
        <w:t xml:space="preserve">Citi books and operational procedures.</w:t>
      </w:r>
    </w:p>
    <w:p>
      <w:pPr>
        <w:pStyle w:val="Compact"/>
        <w:numPr>
          <w:ilvl w:val="0"/>
          <w:numId w:val="1008"/>
        </w:numPr>
      </w:pPr>
      <w:r>
        <w:rPr>
          <w:b/>
          <w:bCs/>
        </w:rPr>
        <w:t xml:space="preserve">Broker/custodian/DTC access.</w:t>
      </w:r>
    </w:p>
    <w:p>
      <w:pPr>
        <w:pStyle w:val="FirstParagraph"/>
      </w:pPr>
      <w:r>
        <w:t xml:space="preserve">The SEC itself is not likely the main bottleneck after effectiveness of the F-6/prospectus, except ordinary Securities Act compliance.</w:t>
      </w:r>
    </w:p>
    <w:p>
      <w:r>
        <w:pict>
          <v:rect style="width:0;height:1.5pt" o:hralign="center" o:hrstd="t" o:hr="t"/>
        </w:pict>
      </w:r>
    </w:p>
    <w:bookmarkEnd w:id="36"/>
    <w:bookmarkEnd w:id="37"/>
    <w:bookmarkStart w:id="43" w:name="historical-comparables"/>
    <w:p>
      <w:pPr>
        <w:pStyle w:val="Heading2"/>
      </w:pPr>
      <w:r>
        <w:t xml:space="preserve">7. Historical Comparables</w:t>
      </w:r>
    </w:p>
    <w:bookmarkStart w:id="38" w:name="tsmc-adr"/>
    <w:p>
      <w:pPr>
        <w:pStyle w:val="Heading3"/>
      </w:pPr>
      <w:r>
        <w:t xml:space="preserve">TSMC ADR</w:t>
      </w:r>
    </w:p>
    <w:p>
      <w:pPr>
        <w:pStyle w:val="FirstParagraph"/>
      </w:pPr>
      <w:r>
        <w:t xml:space="preserve">TSMC’s ADR is mature, liquid, and generally fungible. Premiums are usually kept tight because creation/cancellation operates at scale. It is a poor direct comparable for SKHY’s launch-period restrictions.</w:t>
      </w:r>
    </w:p>
    <w:bookmarkEnd w:id="38"/>
    <w:bookmarkStart w:id="39" w:name="alibaba-ads-hong-kong-shares"/>
    <w:p>
      <w:pPr>
        <w:pStyle w:val="Heading3"/>
      </w:pPr>
      <w:r>
        <w:t xml:space="preserve">Alibaba ADS / Hong Kong shares</w:t>
      </w:r>
    </w:p>
    <w:p>
      <w:pPr>
        <w:pStyle w:val="FirstParagraph"/>
      </w:pPr>
      <w:r>
        <w:t xml:space="preserve">Alibaba has a dual-listing structure with broadly available conversion mechanics. Premiums/discounts typically reflect FX, fees, settlement timing, borrow, and market-hour differences rather than a long-lived 20–30% structural premium.</w:t>
      </w:r>
    </w:p>
    <w:bookmarkEnd w:id="39"/>
    <w:bookmarkStart w:id="40" w:name="samsung-gdrs-and-korean-drgdr-structures"/>
    <w:p>
      <w:pPr>
        <w:pStyle w:val="Heading3"/>
      </w:pPr>
      <w:r>
        <w:t xml:space="preserve">Samsung GDRs and Korean DR/GDR structures</w:t>
      </w:r>
    </w:p>
    <w:p>
      <w:pPr>
        <w:pStyle w:val="FirstParagraph"/>
      </w:pPr>
      <w:r>
        <w:t xml:space="preserve">Samsung and other Korean DR/GDR programs are more relevant. Korean DR structures often include issuer consent, regulatory reporting, deposit restrictions, and periodic book closures. Premiums can persist when creation is capped or operationally constrained.</w:t>
      </w:r>
    </w:p>
    <w:bookmarkEnd w:id="40"/>
    <w:bookmarkStart w:id="41" w:name="hyundai-and-other-korean-dr-programs"/>
    <w:p>
      <w:pPr>
        <w:pStyle w:val="Heading3"/>
      </w:pPr>
      <w:r>
        <w:t xml:space="preserve">Hyundai and other Korean DR programs</w:t>
      </w:r>
    </w:p>
    <w:p>
      <w:pPr>
        <w:pStyle w:val="FirstParagraph"/>
      </w:pPr>
      <w:r>
        <w:t xml:space="preserve">The same lesson applies: Korean DR arbitrage is not always equivalent to ETF-style creation/redemption. Issuer consent, Korean-law procedure, and depositary operations matter.</w:t>
      </w:r>
    </w:p>
    <w:bookmarkEnd w:id="41"/>
    <w:bookmarkStart w:id="42" w:name="conclusion-on-comparables"/>
    <w:p>
      <w:pPr>
        <w:pStyle w:val="Heading3"/>
      </w:pPr>
      <w:r>
        <w:t xml:space="preserve">Conclusion on comparables</w:t>
      </w:r>
    </w:p>
    <w:p>
      <w:pPr>
        <w:pStyle w:val="FirstParagraph"/>
      </w:pPr>
      <w:r>
        <w:t xml:space="preserve">The better comparison set is</w:t>
      </w:r>
      <w:r>
        <w:t xml:space="preserve"> </w:t>
      </w:r>
      <w:r>
        <w:rPr>
          <w:b/>
          <w:bCs/>
        </w:rPr>
        <w:t xml:space="preserve">Korean DR/GDR programs</w:t>
      </w:r>
      <w:r>
        <w:t xml:space="preserve">, not mature ADRs like TSMC. SKHY’s premium may compress after book reopening, but the deposit agreement leaves room for persistent friction.</w:t>
      </w:r>
    </w:p>
    <w:p>
      <w:r>
        <w:pict>
          <v:rect style="width:0;height:1.5pt" o:hralign="center" o:hrstd="t" o:hr="t"/>
        </w:pict>
      </w:r>
    </w:p>
    <w:bookmarkEnd w:id="42"/>
    <w:bookmarkEnd w:id="43"/>
    <w:bookmarkStart w:id="48" w:name="scenario-analysis"/>
    <w:p>
      <w:pPr>
        <w:pStyle w:val="Heading2"/>
      </w:pPr>
      <w:r>
        <w:t xml:space="preserve">8. Scenario Analysis</w:t>
      </w:r>
    </w:p>
    <w:p>
      <w:pPr>
        <w:pStyle w:val="FirstParagraph"/>
      </w:pPr>
      <w:r>
        <w:t xml:space="preserve">Assuming an initial premium around 20–30%:</w:t>
      </w:r>
    </w:p>
    <w:bookmarkStart w:id="44" w:name="X00d3c5c0f566aa45809e91225e58207a171adc7"/>
    <w:p>
      <w:pPr>
        <w:pStyle w:val="Heading3"/>
      </w:pPr>
      <w:r>
        <w:t xml:space="preserve">Scenario A — Unlimited ADR creation becomes available</w:t>
      </w:r>
    </w:p>
    <w:p>
      <w:pPr>
        <w:pStyle w:val="FirstParagraph"/>
      </w:pPr>
      <w:r>
        <w:t xml:space="preserve">If Citi accepts deposits freely and institutions can create ADRs at scale, arbitrage pressure should compress the premium quickly.</w:t>
      </w:r>
    </w:p>
    <w:p>
      <w:pPr>
        <w:pStyle w:val="BodyText"/>
      </w:pPr>
      <w:r>
        <w:t xml:space="preserve">Estimated premium:</w:t>
      </w:r>
    </w:p>
    <w:p>
      <w:pPr>
        <w:pStyle w:val="Compact"/>
        <w:numPr>
          <w:ilvl w:val="0"/>
          <w:numId w:val="1009"/>
        </w:numPr>
      </w:pPr>
      <w:r>
        <w:rPr>
          <w:b/>
          <w:bCs/>
        </w:rPr>
        <w:t xml:space="preserve">After one week:</w:t>
      </w:r>
      <w:r>
        <w:t xml:space="preserve"> </w:t>
      </w:r>
      <w:r>
        <w:t xml:space="preserve">0–5%</w:t>
      </w:r>
    </w:p>
    <w:p>
      <w:pPr>
        <w:pStyle w:val="Compact"/>
        <w:numPr>
          <w:ilvl w:val="0"/>
          <w:numId w:val="1009"/>
        </w:numPr>
      </w:pPr>
      <w:r>
        <w:rPr>
          <w:b/>
          <w:bCs/>
        </w:rPr>
        <w:t xml:space="preserve">After one month:</w:t>
      </w:r>
      <w:r>
        <w:t xml:space="preserve"> </w:t>
      </w:r>
      <w:r>
        <w:t xml:space="preserve">0–2%</w:t>
      </w:r>
    </w:p>
    <w:p>
      <w:pPr>
        <w:pStyle w:val="FirstParagraph"/>
      </w:pPr>
      <w:r>
        <w:t xml:space="preserve">Expected impact:</w:t>
      </w:r>
    </w:p>
    <w:p>
      <w:pPr>
        <w:pStyle w:val="Compact"/>
        <w:numPr>
          <w:ilvl w:val="0"/>
          <w:numId w:val="1010"/>
        </w:numPr>
      </w:pPr>
      <w:r>
        <w:t xml:space="preserve">Seoul shares receive buying pressure.</w:t>
      </w:r>
    </w:p>
    <w:p>
      <w:pPr>
        <w:pStyle w:val="Compact"/>
        <w:numPr>
          <w:ilvl w:val="0"/>
          <w:numId w:val="1010"/>
        </w:numPr>
      </w:pPr>
      <w:r>
        <w:t xml:space="preserve">SKHY receives new ADR supply and/or selling pressure.</w:t>
      </w:r>
    </w:p>
    <w:p>
      <w:pPr>
        <w:pStyle w:val="Compact"/>
        <w:numPr>
          <w:ilvl w:val="0"/>
          <w:numId w:val="1010"/>
        </w:numPr>
      </w:pPr>
      <w:r>
        <w:t xml:space="preserve">Premium collapses from both sides, not only via Seoul rising.</w:t>
      </w:r>
    </w:p>
    <w:bookmarkEnd w:id="44"/>
    <w:bookmarkStart w:id="45" w:name="scenario-b-limited-creation"/>
    <w:p>
      <w:pPr>
        <w:pStyle w:val="Heading3"/>
      </w:pPr>
      <w:r>
        <w:t xml:space="preserve">Scenario B — Limited creation</w:t>
      </w:r>
    </w:p>
    <w:p>
      <w:pPr>
        <w:pStyle w:val="FirstParagraph"/>
      </w:pPr>
      <w:r>
        <w:t xml:space="preserve">If creation is allowed but capped, arbitrage narrows the premium but may not eliminate it.</w:t>
      </w:r>
    </w:p>
    <w:p>
      <w:pPr>
        <w:pStyle w:val="BodyText"/>
      </w:pPr>
      <w:r>
        <w:t xml:space="preserve">Estimated premium:</w:t>
      </w:r>
    </w:p>
    <w:p>
      <w:pPr>
        <w:pStyle w:val="Compact"/>
        <w:numPr>
          <w:ilvl w:val="0"/>
          <w:numId w:val="1011"/>
        </w:numPr>
      </w:pPr>
      <w:r>
        <w:rPr>
          <w:b/>
          <w:bCs/>
        </w:rPr>
        <w:t xml:space="preserve">After one week:</w:t>
      </w:r>
      <w:r>
        <w:t xml:space="preserve"> </w:t>
      </w:r>
      <w:r>
        <w:t xml:space="preserve">8–18%</w:t>
      </w:r>
    </w:p>
    <w:p>
      <w:pPr>
        <w:pStyle w:val="Compact"/>
        <w:numPr>
          <w:ilvl w:val="0"/>
          <w:numId w:val="1011"/>
        </w:numPr>
      </w:pPr>
      <w:r>
        <w:rPr>
          <w:b/>
          <w:bCs/>
        </w:rPr>
        <w:t xml:space="preserve">After one month:</w:t>
      </w:r>
      <w:r>
        <w:t xml:space="preserve"> </w:t>
      </w:r>
      <w:r>
        <w:t xml:space="preserve">5–12%</w:t>
      </w:r>
    </w:p>
    <w:bookmarkEnd w:id="45"/>
    <w:bookmarkStart w:id="46" w:name="scenario-c-creation-allowed-but-slow"/>
    <w:p>
      <w:pPr>
        <w:pStyle w:val="Heading3"/>
      </w:pPr>
      <w:r>
        <w:t xml:space="preserve">Scenario C — Creation allowed but slow</w:t>
      </w:r>
    </w:p>
    <w:p>
      <w:pPr>
        <w:pStyle w:val="FirstParagraph"/>
      </w:pPr>
      <w:r>
        <w:t xml:space="preserve">If operational backlog, custody timing, or compliance documentation slows creation, the premium may decline gradually.</w:t>
      </w:r>
    </w:p>
    <w:p>
      <w:pPr>
        <w:pStyle w:val="BodyText"/>
      </w:pPr>
      <w:r>
        <w:t xml:space="preserve">Estimated premium:</w:t>
      </w:r>
    </w:p>
    <w:p>
      <w:pPr>
        <w:pStyle w:val="Compact"/>
        <w:numPr>
          <w:ilvl w:val="0"/>
          <w:numId w:val="1012"/>
        </w:numPr>
      </w:pPr>
      <w:r>
        <w:rPr>
          <w:b/>
          <w:bCs/>
        </w:rPr>
        <w:t xml:space="preserve">After one week:</w:t>
      </w:r>
      <w:r>
        <w:t xml:space="preserve"> </w:t>
      </w:r>
      <w:r>
        <w:t xml:space="preserve">12–20%</w:t>
      </w:r>
    </w:p>
    <w:p>
      <w:pPr>
        <w:pStyle w:val="Compact"/>
        <w:numPr>
          <w:ilvl w:val="0"/>
          <w:numId w:val="1012"/>
        </w:numPr>
      </w:pPr>
      <w:r>
        <w:rPr>
          <w:b/>
          <w:bCs/>
        </w:rPr>
        <w:t xml:space="preserve">After one month:</w:t>
      </w:r>
      <w:r>
        <w:t xml:space="preserve"> </w:t>
      </w:r>
      <w:r>
        <w:t xml:space="preserve">5–15%</w:t>
      </w:r>
    </w:p>
    <w:bookmarkEnd w:id="46"/>
    <w:bookmarkStart w:id="47" w:name="scenario-d-issuance-capped"/>
    <w:p>
      <w:pPr>
        <w:pStyle w:val="Heading3"/>
      </w:pPr>
      <w:r>
        <w:t xml:space="preserve">Scenario D — Issuance capped</w:t>
      </w:r>
    </w:p>
    <w:p>
      <w:pPr>
        <w:pStyle w:val="FirstParagraph"/>
      </w:pPr>
      <w:r>
        <w:t xml:space="preserve">If the company or Citi effectively caps issuance, the premium may persist.</w:t>
      </w:r>
    </w:p>
    <w:p>
      <w:pPr>
        <w:pStyle w:val="BodyText"/>
      </w:pPr>
      <w:r>
        <w:t xml:space="preserve">Estimated premium:</w:t>
      </w:r>
    </w:p>
    <w:p>
      <w:pPr>
        <w:pStyle w:val="Compact"/>
        <w:numPr>
          <w:ilvl w:val="0"/>
          <w:numId w:val="1013"/>
        </w:numPr>
      </w:pPr>
      <w:r>
        <w:rPr>
          <w:b/>
          <w:bCs/>
        </w:rPr>
        <w:t xml:space="preserve">After one week:</w:t>
      </w:r>
      <w:r>
        <w:t xml:space="preserve"> </w:t>
      </w:r>
      <w:r>
        <w:t xml:space="preserve">15–30%</w:t>
      </w:r>
    </w:p>
    <w:p>
      <w:pPr>
        <w:pStyle w:val="Compact"/>
        <w:numPr>
          <w:ilvl w:val="0"/>
          <w:numId w:val="1013"/>
        </w:numPr>
      </w:pPr>
      <w:r>
        <w:rPr>
          <w:b/>
          <w:bCs/>
        </w:rPr>
        <w:t xml:space="preserve">After one month:</w:t>
      </w:r>
      <w:r>
        <w:t xml:space="preserve"> </w:t>
      </w:r>
      <w:r>
        <w:t xml:space="preserve">10–25%+</w:t>
      </w:r>
    </w:p>
    <w:p>
      <w:r>
        <w:pict>
          <v:rect style="width:0;height:1.5pt" o:hralign="center" o:hrstd="t" o:hr="t"/>
        </w:pict>
      </w:r>
    </w:p>
    <w:bookmarkEnd w:id="47"/>
    <w:bookmarkEnd w:id="48"/>
    <w:bookmarkStart w:id="55" w:name="evaluation-of-the-x-post"/>
    <w:p>
      <w:pPr>
        <w:pStyle w:val="Heading2"/>
      </w:pPr>
      <w:r>
        <w:t xml:space="preserve">9. Evaluation of the X Post</w:t>
      </w:r>
    </w:p>
    <w:bookmarkStart w:id="49" w:name="skhy-adr-sits-20-over-seoul."/>
    <w:p>
      <w:pPr>
        <w:pStyle w:val="Heading3"/>
      </w:pPr>
      <w:r>
        <w:t xml:space="preserve">“SKHY ADR sits 20%+ over Seoul.”</w:t>
      </w:r>
    </w:p>
    <w:p>
      <w:pPr>
        <w:pStyle w:val="FirstParagraph"/>
      </w:pPr>
      <w:r>
        <w:rPr>
          <w:b/>
          <w:bCs/>
        </w:rPr>
        <w:t xml:space="preserve">Assessment:</w:t>
      </w:r>
      <w:r>
        <w:t xml:space="preserve"> </w:t>
      </w:r>
      <w:r>
        <w:t xml:space="preserve">Likely true.</w:t>
      </w:r>
      <w:r>
        <w:br/>
      </w:r>
      <w:r>
        <w:t xml:space="preserve">The observed market premium appears consistent with the user’s premise, though this report did not independently refresh same-minute Seoul/FX pricing.</w:t>
      </w:r>
    </w:p>
    <w:bookmarkEnd w:id="49"/>
    <w:bookmarkStart w:id="50" w:name="not-a-structural-premium."/>
    <w:p>
      <w:pPr>
        <w:pStyle w:val="Heading3"/>
      </w:pPr>
      <w:r>
        <w:t xml:space="preserve">“Not a structural premium.”</w:t>
      </w:r>
    </w:p>
    <w:p>
      <w:pPr>
        <w:pStyle w:val="FirstParagraph"/>
      </w:pPr>
      <w:r>
        <w:rPr>
          <w:b/>
          <w:bCs/>
        </w:rPr>
        <w:t xml:space="preserve">Assessment:</w:t>
      </w:r>
      <w:r>
        <w:t xml:space="preserve"> </w:t>
      </w:r>
      <w:r>
        <w:t xml:space="preserve">Unsupported.</w:t>
      </w:r>
      <w:r>
        <w:br/>
      </w:r>
      <w:r>
        <w:t xml:space="preserve">The deposit agreement and prospectus contain structural constraints: issuer consent, deposit caps, Korean filings, Citi refusal rights, and book closures.</w:t>
      </w:r>
    </w:p>
    <w:bookmarkEnd w:id="50"/>
    <w:bookmarkStart w:id="51" w:name="Xc982ac76344953d3472143be2c16b47bea44240"/>
    <w:p>
      <w:pPr>
        <w:pStyle w:val="Heading3"/>
      </w:pPr>
      <w:r>
        <w:t xml:space="preserve">“The arbitrage is just frozen until July 29.”</w:t>
      </w:r>
    </w:p>
    <w:p>
      <w:pPr>
        <w:pStyle w:val="FirstParagraph"/>
      </w:pPr>
      <w:r>
        <w:rPr>
          <w:b/>
          <w:bCs/>
        </w:rPr>
        <w:t xml:space="preserve">Assessment:</w:t>
      </w:r>
      <w:r>
        <w:t xml:space="preserve"> </w:t>
      </w:r>
      <w:r>
        <w:t xml:space="preserve">Partly true.</w:t>
      </w:r>
      <w:r>
        <w:br/>
      </w:r>
      <w:r>
        <w:t xml:space="preserve">Citi did freeze issuance and cancellation through July 29. But “just frozen” understates remaining post-reopen constraints. The practical reopen is July 30 New York time.</w:t>
      </w:r>
    </w:p>
    <w:bookmarkEnd w:id="51"/>
    <w:bookmarkStart w:id="52" w:name="Xbf5893d375b83c9d428807b770b75cf745fcb16"/>
    <w:p>
      <w:pPr>
        <w:pStyle w:val="Heading3"/>
      </w:pPr>
      <w:r>
        <w:t xml:space="preserve">“Then you can buy the cheap line and convert up.”</w:t>
      </w:r>
    </w:p>
    <w:p>
      <w:pPr>
        <w:pStyle w:val="FirstParagraph"/>
      </w:pPr>
      <w:r>
        <w:rPr>
          <w:b/>
          <w:bCs/>
        </w:rPr>
        <w:t xml:space="preserve">Assessment:</w:t>
      </w:r>
      <w:r>
        <w:t xml:space="preserve"> </w:t>
      </w:r>
      <w:r>
        <w:t xml:space="preserve">Partly true for institutions; false for ordinary retail.</w:t>
      </w:r>
      <w:r>
        <w:br/>
      </w:r>
      <w:r>
        <w:t xml:space="preserve">Qualified institutions may be able to buy Seoul shares and create ADRs after reopening, but only if Citi accepts the deposits and required compliance conditions are met.</w:t>
      </w:r>
    </w:p>
    <w:bookmarkEnd w:id="52"/>
    <w:bookmarkStart w:id="53" w:name="convergence-hits-seoul-not-the-adr."/>
    <w:p>
      <w:pPr>
        <w:pStyle w:val="Heading3"/>
      </w:pPr>
      <w:r>
        <w:t xml:space="preserve">“Convergence hits Seoul, not the ADR.”</w:t>
      </w:r>
    </w:p>
    <w:p>
      <w:pPr>
        <w:pStyle w:val="FirstParagraph"/>
      </w:pPr>
      <w:r>
        <w:rPr>
          <w:b/>
          <w:bCs/>
        </w:rPr>
        <w:t xml:space="preserve">Assessment:</w:t>
      </w:r>
      <w:r>
        <w:t xml:space="preserve"> </w:t>
      </w:r>
      <w:r>
        <w:t xml:space="preserve">Unsupported.</w:t>
      </w:r>
      <w:r>
        <w:br/>
      </w:r>
      <w:r>
        <w:t xml:space="preserve">A true arbitrage would likely affect both lines: Seoul gets buying pressure, while SKHY gets new supply and/or selling pressure.</w:t>
      </w:r>
    </w:p>
    <w:bookmarkEnd w:id="53"/>
    <w:bookmarkStart w:id="54" w:name="X442de7830220a7bd53ee1484cc123a0a58f08df"/>
    <w:p>
      <w:pPr>
        <w:pStyle w:val="Heading3"/>
      </w:pPr>
      <w:r>
        <w:t xml:space="preserve">“Watch Citi’s terms though, as the US ADR can be capped.”</w:t>
      </w:r>
    </w:p>
    <w:p>
      <w:pPr>
        <w:pStyle w:val="FirstParagraph"/>
      </w:pPr>
      <w:r>
        <w:rPr>
          <w:b/>
          <w:bCs/>
        </w:rPr>
        <w:t xml:space="preserve">Assessment:</w:t>
      </w:r>
      <w:r>
        <w:t xml:space="preserve"> </w:t>
      </w:r>
      <w:r>
        <w:t xml:space="preserve">True.</w:t>
      </w:r>
      <w:r>
        <w:br/>
      </w:r>
      <w:r>
        <w:t xml:space="preserve">The deposit agreement and prospectus support this concern.</w:t>
      </w:r>
    </w:p>
    <w:p>
      <w:r>
        <w:pict>
          <v:rect style="width:0;height:1.5pt" o:hralign="center" o:hrstd="t" o:hr="t"/>
        </w:pict>
      </w:r>
    </w:p>
    <w:bookmarkEnd w:id="54"/>
    <w:bookmarkEnd w:id="55"/>
    <w:bookmarkStart w:id="62" w:name="final-conclusions"/>
    <w:p>
      <w:pPr>
        <w:pStyle w:val="Heading2"/>
      </w:pPr>
      <w:r>
        <w:t xml:space="preserve">10. Final Conclusions</w:t>
      </w:r>
    </w:p>
    <w:bookmarkStart w:id="56" w:name="Xcc20c32bf40b24e3655adcebaebb5134142b0d6"/>
    <w:p>
      <w:pPr>
        <w:pStyle w:val="Heading3"/>
      </w:pPr>
      <w:r>
        <w:t xml:space="preserve">Is there actually an arbitrage opportunity?</w:t>
      </w:r>
    </w:p>
    <w:p>
      <w:pPr>
        <w:pStyle w:val="FirstParagraph"/>
      </w:pPr>
      <w:r>
        <w:t xml:space="preserve">Yes, potentially, but primarily for institutions. It depends on whether Citi accepts meaningful new ADR creation after books reopen.</w:t>
      </w:r>
    </w:p>
    <w:bookmarkEnd w:id="56"/>
    <w:bookmarkStart w:id="57" w:name="is-it-available-to-retail-investors"/>
    <w:p>
      <w:pPr>
        <w:pStyle w:val="Heading3"/>
      </w:pPr>
      <w:r>
        <w:t xml:space="preserve">Is it available to retail investors?</w:t>
      </w:r>
    </w:p>
    <w:p>
      <w:pPr>
        <w:pStyle w:val="FirstParagraph"/>
      </w:pPr>
      <w:r>
        <w:t xml:space="preserve">No, not practically.</w:t>
      </w:r>
    </w:p>
    <w:bookmarkEnd w:id="57"/>
    <w:bookmarkStart w:id="58" w:name="is-it-only-available-to-institutions"/>
    <w:p>
      <w:pPr>
        <w:pStyle w:val="Heading3"/>
      </w:pPr>
      <w:r>
        <w:t xml:space="preserve">Is it only available to institutions?</w:t>
      </w:r>
    </w:p>
    <w:p>
      <w:pPr>
        <w:pStyle w:val="FirstParagraph"/>
      </w:pPr>
      <w:r>
        <w:t xml:space="preserve">Effectively yes. The required custody, DTC, Korean-market, and depositary workflow is institutional.</w:t>
      </w:r>
    </w:p>
    <w:bookmarkEnd w:id="58"/>
    <w:bookmarkStart w:id="59" w:name="is-july-29-meaningful-or-speculation"/>
    <w:p>
      <w:pPr>
        <w:pStyle w:val="Heading3"/>
      </w:pPr>
      <w:r>
        <w:t xml:space="preserve">Is July 29 meaningful or speculation?</w:t>
      </w:r>
    </w:p>
    <w:p>
      <w:pPr>
        <w:pStyle w:val="FirstParagraph"/>
      </w:pPr>
      <w:r>
        <w:t xml:space="preserve">Meaningful. Citi and SK Hynix both support July 29 as a key date. But the practical Citi reopen appears to be</w:t>
      </w:r>
      <w:r>
        <w:t xml:space="preserve"> </w:t>
      </w:r>
      <w:r>
        <w:rPr>
          <w:b/>
          <w:bCs/>
        </w:rPr>
        <w:t xml:space="preserve">July 30 New York open</w:t>
      </w:r>
      <w:r>
        <w:t xml:space="preserve">.</w:t>
      </w:r>
    </w:p>
    <w:bookmarkEnd w:id="59"/>
    <w:bookmarkStart w:id="60" w:name="X8ab574ca18a6b06831828bdc70f62afaf5914fa"/>
    <w:p>
      <w:pPr>
        <w:pStyle w:val="Heading3"/>
      </w:pPr>
      <w:r>
        <w:t xml:space="preserve">What event is most likely to collapse the premium?</w:t>
      </w:r>
    </w:p>
    <w:p>
      <w:pPr>
        <w:pStyle w:val="FirstParagraph"/>
      </w:pPr>
      <w:r>
        <w:t xml:space="preserve">The premium is most likely to collapse if Citi books reopen and institutions can create large amounts of SKHY ADRs without a restrictive cap.</w:t>
      </w:r>
    </w:p>
    <w:bookmarkEnd w:id="60"/>
    <w:bookmarkStart w:id="61" w:name="Xd4e67fc96fbf038bfada620daafb6b9c1f8e50c"/>
    <w:p>
      <w:pPr>
        <w:pStyle w:val="Heading3"/>
      </w:pPr>
      <w:r>
        <w:t xml:space="preserve">If seeking SK Hynix exposure today, what should an investor consider?</w:t>
      </w:r>
    </w:p>
    <w:p>
      <w:pPr>
        <w:pStyle w:val="Compact"/>
        <w:numPr>
          <w:ilvl w:val="0"/>
          <w:numId w:val="1014"/>
        </w:numPr>
      </w:pPr>
      <w:r>
        <w:t xml:space="preserve">If able to buy Seoul 000660 efficiently, Seoul shares are economically cleaner because they avoid the ADR premium.</w:t>
      </w:r>
    </w:p>
    <w:p>
      <w:pPr>
        <w:pStyle w:val="Compact"/>
        <w:numPr>
          <w:ilvl w:val="0"/>
          <w:numId w:val="1014"/>
        </w:numPr>
      </w:pPr>
      <w:r>
        <w:t xml:space="preserve">If limited to U.S. markets, buying SKHY at a 20–30% premium carries convergence risk.</w:t>
      </w:r>
    </w:p>
    <w:p>
      <w:pPr>
        <w:pStyle w:val="Compact"/>
        <w:numPr>
          <w:ilvl w:val="0"/>
          <w:numId w:val="1014"/>
        </w:numPr>
      </w:pPr>
      <w:r>
        <w:t xml:space="preserve">A cautious approach would be to wait for post-July-30 price discovery unless there is a strong reason to pay for U.S. ADR convenience.</w:t>
      </w:r>
    </w:p>
    <w:p>
      <w:r>
        <w:pict>
          <v:rect style="width:0;height:1.5pt" o:hralign="center" o:hrstd="t" o:hr="t"/>
        </w:pict>
      </w:r>
    </w:p>
    <w:bookmarkEnd w:id="61"/>
    <w:bookmarkEnd w:id="62"/>
    <w:bookmarkStart w:id="63" w:name="confidence-levels"/>
    <w:p>
      <w:pPr>
        <w:pStyle w:val="Heading2"/>
      </w:pPr>
      <w:r>
        <w:t xml:space="preserve">Confidence Levels</w:t>
      </w:r>
    </w:p>
    <w:p>
      <w:pPr>
        <w:pStyle w:val="Compact"/>
        <w:numPr>
          <w:ilvl w:val="0"/>
          <w:numId w:val="1015"/>
        </w:numPr>
      </w:pPr>
      <w:r>
        <w:rPr>
          <w:b/>
          <w:bCs/>
        </w:rPr>
        <w:t xml:space="preserve">High:</w:t>
      </w:r>
      <w:r>
        <w:t xml:space="preserve"> </w:t>
      </w:r>
      <w:r>
        <w:t xml:space="preserve">July 29/Citi books closure and July 30 New York reopening language.</w:t>
      </w:r>
    </w:p>
    <w:p>
      <w:pPr>
        <w:pStyle w:val="Compact"/>
        <w:numPr>
          <w:ilvl w:val="0"/>
          <w:numId w:val="1015"/>
        </w:numPr>
      </w:pPr>
      <w:r>
        <w:rPr>
          <w:b/>
          <w:bCs/>
        </w:rPr>
        <w:t xml:space="preserve">High:</w:t>
      </w:r>
      <w:r>
        <w:t xml:space="preserve"> </w:t>
      </w:r>
      <w:r>
        <w:t xml:space="preserve">Deposit agreement allows suspension, refusal, issuer consent, and caps.</w:t>
      </w:r>
    </w:p>
    <w:p>
      <w:pPr>
        <w:pStyle w:val="Compact"/>
        <w:numPr>
          <w:ilvl w:val="0"/>
          <w:numId w:val="1015"/>
        </w:numPr>
      </w:pPr>
      <w:r>
        <w:rPr>
          <w:b/>
          <w:bCs/>
        </w:rPr>
        <w:t xml:space="preserve">High:</w:t>
      </w:r>
      <w:r>
        <w:t xml:space="preserve"> </w:t>
      </w:r>
      <w:r>
        <w:t xml:space="preserve">Retail investors cannot practically execute the arbitrage.</w:t>
      </w:r>
    </w:p>
    <w:p>
      <w:pPr>
        <w:pStyle w:val="Compact"/>
        <w:numPr>
          <w:ilvl w:val="0"/>
          <w:numId w:val="1015"/>
        </w:numPr>
      </w:pPr>
      <w:r>
        <w:rPr>
          <w:b/>
          <w:bCs/>
        </w:rPr>
        <w:t xml:space="preserve">Medium-high:</w:t>
      </w:r>
      <w:r>
        <w:t xml:space="preserve"> </w:t>
      </w:r>
      <w:r>
        <w:t xml:space="preserve">Institutional arbitrage may become possible after reopening, subject to Citi/SK Hynix/Korean constraints.</w:t>
      </w:r>
    </w:p>
    <w:p>
      <w:pPr>
        <w:pStyle w:val="Compact"/>
        <w:numPr>
          <w:ilvl w:val="0"/>
          <w:numId w:val="1015"/>
        </w:numPr>
      </w:pPr>
      <w:r>
        <w:rPr>
          <w:b/>
          <w:bCs/>
        </w:rPr>
        <w:t xml:space="preserve">Medium:</w:t>
      </w:r>
      <w:r>
        <w:t xml:space="preserve"> </w:t>
      </w:r>
      <w:r>
        <w:t xml:space="preserve">Premium convergence path and magnitude.</w:t>
      </w:r>
    </w:p>
    <w:p>
      <w:pPr>
        <w:pStyle w:val="Compact"/>
        <w:numPr>
          <w:ilvl w:val="0"/>
          <w:numId w:val="1015"/>
        </w:numPr>
      </w:pPr>
      <w:r>
        <w:rPr>
          <w:b/>
          <w:bCs/>
        </w:rPr>
        <w:t xml:space="preserve">Low:</w:t>
      </w:r>
      <w:r>
        <w:t xml:space="preserve"> </w:t>
      </w:r>
      <w:r>
        <w:t xml:space="preserve">Any claim of unlimited two-way fungibility. I found no official support for that.</w:t>
      </w:r>
    </w:p>
    <w:p>
      <w:r>
        <w:pict>
          <v:rect style="width:0;height:1.5pt" o:hralign="center" o:hrstd="t" o:hr="t"/>
        </w:pict>
      </w:r>
    </w:p>
    <w:bookmarkEnd w:id="63"/>
    <w:bookmarkStart w:id="64" w:name="primary-source-links"/>
    <w:p>
      <w:pPr>
        <w:pStyle w:val="Heading2"/>
      </w:pPr>
      <w:r>
        <w:t xml:space="preserve">Primary Source Links</w:t>
      </w:r>
    </w:p>
    <w:p>
      <w:pPr>
        <w:numPr>
          <w:ilvl w:val="0"/>
          <w:numId w:val="1016"/>
        </w:numPr>
      </w:pPr>
      <w:r>
        <w:t xml:space="preserve">Citi SKHY book notice PDF:</w:t>
      </w:r>
      <w:r>
        <w:br/>
      </w:r>
      <w:r>
        <w:t xml:space="preserve">https://depositaryreceipts.citi.com/adr/guides/bookPdf.aspx?secId=SKHY&amp;dmcid=556973172</w:t>
      </w:r>
    </w:p>
    <w:p>
      <w:pPr>
        <w:numPr>
          <w:ilvl w:val="0"/>
          <w:numId w:val="1016"/>
        </w:numPr>
      </w:pPr>
      <w:r>
        <w:t xml:space="preserve">Citi SKHY book-status page:</w:t>
      </w:r>
      <w:r>
        <w:br/>
      </w:r>
      <w:r>
        <w:t xml:space="preserve">https://depositaryreceipts.citi.com/adr/guides/pgm_dispabook.aspx?pageId=15&amp;subpageID=111&amp;cusip=78392B206</w:t>
      </w:r>
    </w:p>
    <w:p>
      <w:pPr>
        <w:numPr>
          <w:ilvl w:val="0"/>
          <w:numId w:val="1016"/>
        </w:numPr>
      </w:pPr>
      <w:r>
        <w:t xml:space="preserve">Citi SKHY capital raising page:</w:t>
      </w:r>
      <w:r>
        <w:br/>
      </w:r>
      <w:r>
        <w:t xml:space="preserve">https://depositaryreceipts.citi.com/adr/guides/pgm_d.aspx?typeDisplay=C&amp;pageId=15&amp;subpageID=105&amp;cusip=78392B206</w:t>
      </w:r>
    </w:p>
    <w:p>
      <w:pPr>
        <w:numPr>
          <w:ilvl w:val="0"/>
          <w:numId w:val="1016"/>
        </w:numPr>
      </w:pPr>
      <w:r>
        <w:t xml:space="preserve">SK Hynix ADR Nasdaq listing release:</w:t>
      </w:r>
      <w:r>
        <w:br/>
      </w:r>
      <w:r>
        <w:t xml:space="preserve">https://news.skhynix.com/skhynix-lists-adrs-on-nasdaq/</w:t>
      </w:r>
    </w:p>
    <w:p>
      <w:pPr>
        <w:numPr>
          <w:ilvl w:val="0"/>
          <w:numId w:val="1016"/>
        </w:numPr>
      </w:pPr>
      <w:r>
        <w:t xml:space="preserve">SEC final prospectus / 424B4:</w:t>
      </w:r>
      <w:r>
        <w:br/>
      </w:r>
      <w:r>
        <w:t xml:space="preserve">https://www.sec.gov/Archives/edgar/data/2120882/000119312526299963/d32785d424b4.htm</w:t>
      </w:r>
    </w:p>
    <w:p>
      <w:pPr>
        <w:numPr>
          <w:ilvl w:val="0"/>
          <w:numId w:val="1016"/>
        </w:numPr>
      </w:pPr>
      <w:r>
        <w:t xml:space="preserve">SEC F-6 registration:</w:t>
      </w:r>
      <w:r>
        <w:br/>
      </w:r>
      <w:r>
        <w:t xml:space="preserve">https://www.sec.gov/Archives/edgar/data/2120882/000119380526000898/e665622_f6-skhynix.htm</w:t>
      </w:r>
    </w:p>
    <w:p>
      <w:pPr>
        <w:numPr>
          <w:ilvl w:val="0"/>
          <w:numId w:val="1016"/>
        </w:numPr>
      </w:pPr>
      <w:r>
        <w:t xml:space="preserve">SEC deposit agreement exhibit:</w:t>
      </w:r>
      <w:r>
        <w:br/>
      </w:r>
      <w:r>
        <w:t xml:space="preserve">https://www.sec.gov/Archives/edgar/data/2120882/000119380526000898/e665622_ex99-a.htm</w:t>
      </w:r>
    </w:p>
    <w:bookmarkEnd w:id="64"/>
    <w:bookmarkEnd w:id="6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2026-07-15T07:07:56Z</dcterms:created>
  <dcterms:modified xsi:type="dcterms:W3CDTF">2026-07-15T07:07:56Z</dcterms:modified>
</cp:coreProperties>
</file>

<file path=docProps/custom.xml><?xml version="1.0" encoding="utf-8"?>
<Properties xmlns="http://schemas.openxmlformats.org/officeDocument/2006/custom-properties" xmlns:vt="http://schemas.openxmlformats.org/officeDocument/2006/docPropsVTypes"/>
</file>